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76" w:rsidRPr="00CF2948" w:rsidRDefault="009E462A" w:rsidP="00E0575C">
      <w:pPr>
        <w:jc w:val="center"/>
        <w:rPr>
          <w:rFonts w:asciiTheme="minorHAnsi" w:hAnsiTheme="minorHAnsi" w:cstheme="minorHAnsi"/>
          <w:b/>
          <w:bCs/>
          <w:sz w:val="22"/>
          <w:szCs w:val="22"/>
        </w:rPr>
      </w:pPr>
      <w:bookmarkStart w:id="0" w:name="_GoBack"/>
      <w:bookmarkEnd w:id="0"/>
      <w:r w:rsidRPr="00CF2948">
        <w:rPr>
          <w:rFonts w:asciiTheme="minorHAnsi" w:hAnsiTheme="minorHAnsi" w:cstheme="minorHAnsi"/>
          <w:b/>
          <w:bCs/>
          <w:sz w:val="22"/>
          <w:szCs w:val="22"/>
        </w:rPr>
        <w:t xml:space="preserve">Összegezés </w:t>
      </w:r>
    </w:p>
    <w:p w:rsidR="009E462A" w:rsidRPr="00CF2948" w:rsidRDefault="009E462A" w:rsidP="00E0575C">
      <w:pPr>
        <w:jc w:val="center"/>
        <w:rPr>
          <w:rFonts w:asciiTheme="minorHAnsi" w:hAnsiTheme="minorHAnsi" w:cstheme="minorHAnsi"/>
          <w:b/>
          <w:bCs/>
          <w:sz w:val="22"/>
          <w:szCs w:val="22"/>
        </w:rPr>
      </w:pPr>
      <w:r w:rsidRPr="00CF2948">
        <w:rPr>
          <w:rFonts w:asciiTheme="minorHAnsi" w:hAnsiTheme="minorHAnsi" w:cstheme="minorHAnsi"/>
          <w:b/>
          <w:bCs/>
          <w:sz w:val="22"/>
          <w:szCs w:val="22"/>
        </w:rPr>
        <w:t>az ajánlatok elbírálásáról</w:t>
      </w:r>
    </w:p>
    <w:p w:rsidR="009E462A" w:rsidRPr="00CF2948" w:rsidRDefault="009E462A" w:rsidP="00E0575C">
      <w:pPr>
        <w:jc w:val="center"/>
        <w:rPr>
          <w:rFonts w:asciiTheme="minorHAnsi" w:hAnsiTheme="minorHAnsi" w:cstheme="minorHAnsi"/>
          <w:b/>
          <w:bCs/>
          <w:sz w:val="22"/>
          <w:szCs w:val="22"/>
        </w:rPr>
      </w:pPr>
    </w:p>
    <w:p w:rsidR="007221F0" w:rsidRPr="00CF2948" w:rsidRDefault="007221F0" w:rsidP="00E0575C">
      <w:pPr>
        <w:jc w:val="center"/>
        <w:rPr>
          <w:rFonts w:asciiTheme="minorHAnsi" w:hAnsiTheme="minorHAnsi" w:cstheme="minorHAnsi"/>
          <w:b/>
          <w:bCs/>
          <w:sz w:val="22"/>
          <w:szCs w:val="22"/>
        </w:rPr>
      </w:pPr>
    </w:p>
    <w:p w:rsidR="00462476" w:rsidRPr="00CF2948" w:rsidRDefault="00462476" w:rsidP="00E0575C">
      <w:pPr>
        <w:jc w:val="center"/>
        <w:rPr>
          <w:rFonts w:asciiTheme="minorHAnsi" w:hAnsiTheme="minorHAnsi" w:cstheme="minorHAnsi"/>
          <w:b/>
          <w:bCs/>
          <w:sz w:val="22"/>
          <w:szCs w:val="22"/>
        </w:rPr>
      </w:pPr>
    </w:p>
    <w:p w:rsidR="005D2ACE" w:rsidRPr="00CF2948" w:rsidRDefault="007221F0" w:rsidP="007F4A38">
      <w:pPr>
        <w:autoSpaceDE w:val="0"/>
        <w:autoSpaceDN w:val="0"/>
        <w:ind w:left="567" w:right="-1" w:hanging="567"/>
        <w:jc w:val="both"/>
        <w:rPr>
          <w:rFonts w:asciiTheme="minorHAnsi" w:hAnsiTheme="minorHAnsi" w:cstheme="minorHAnsi"/>
          <w:sz w:val="22"/>
          <w:szCs w:val="22"/>
        </w:rPr>
      </w:pPr>
      <w:r w:rsidRPr="00CF2948">
        <w:rPr>
          <w:rFonts w:asciiTheme="minorHAnsi" w:hAnsiTheme="minorHAnsi" w:cstheme="minorHAnsi"/>
          <w:sz w:val="22"/>
          <w:szCs w:val="22"/>
        </w:rPr>
        <w:t>1.</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Az ajánlatkérő neve és címe:</w:t>
      </w:r>
      <w:r w:rsidR="00D91EA6" w:rsidRPr="00CF2948">
        <w:rPr>
          <w:rFonts w:asciiTheme="minorHAnsi" w:hAnsiTheme="minorHAnsi" w:cstheme="minorHAnsi"/>
          <w:sz w:val="22"/>
          <w:szCs w:val="22"/>
        </w:rPr>
        <w:t xml:space="preserve"> </w:t>
      </w:r>
    </w:p>
    <w:p w:rsidR="007F4A38" w:rsidRPr="00CF2948" w:rsidRDefault="007F4A38" w:rsidP="007221F0">
      <w:pPr>
        <w:autoSpaceDE w:val="0"/>
        <w:autoSpaceDN w:val="0"/>
        <w:ind w:left="567" w:right="-1"/>
        <w:jc w:val="both"/>
        <w:rPr>
          <w:rFonts w:asciiTheme="minorHAnsi" w:hAnsiTheme="minorHAnsi" w:cstheme="minorHAnsi"/>
          <w:bCs/>
          <w:snapToGrid w:val="0"/>
          <w:sz w:val="22"/>
          <w:szCs w:val="22"/>
        </w:rPr>
      </w:pPr>
    </w:p>
    <w:p w:rsidR="007221F0" w:rsidRPr="00CF2948" w:rsidRDefault="00CF2948" w:rsidP="007221F0">
      <w:pPr>
        <w:autoSpaceDE w:val="0"/>
        <w:autoSpaceDN w:val="0"/>
        <w:ind w:left="567" w:right="-1"/>
        <w:jc w:val="both"/>
        <w:rPr>
          <w:rFonts w:asciiTheme="minorHAnsi" w:hAnsiTheme="minorHAnsi" w:cstheme="minorHAnsi"/>
          <w:bCs/>
          <w:snapToGrid w:val="0"/>
          <w:sz w:val="22"/>
          <w:szCs w:val="22"/>
        </w:rPr>
      </w:pPr>
      <w:r w:rsidRPr="00CF2948">
        <w:rPr>
          <w:rFonts w:asciiTheme="minorHAnsi" w:hAnsiTheme="minorHAnsi" w:cstheme="minorHAnsi"/>
          <w:bCs/>
          <w:snapToGrid w:val="0"/>
          <w:sz w:val="22"/>
          <w:szCs w:val="22"/>
        </w:rPr>
        <w:t>Kaposvár Megyei Jogú Város Önkormányzata (cím: 7400 Kaposvár, Kossuth tér 1.)</w:t>
      </w:r>
    </w:p>
    <w:p w:rsidR="007221F0" w:rsidRPr="00CF2948" w:rsidRDefault="007221F0" w:rsidP="007221F0">
      <w:pPr>
        <w:autoSpaceDE w:val="0"/>
        <w:autoSpaceDN w:val="0"/>
        <w:ind w:left="567" w:right="-1"/>
        <w:jc w:val="both"/>
        <w:rPr>
          <w:rFonts w:asciiTheme="minorHAnsi" w:hAnsiTheme="minorHAnsi" w:cstheme="minorHAnsi"/>
          <w:bCs/>
          <w:snapToGrid w:val="0"/>
          <w:sz w:val="22"/>
          <w:szCs w:val="22"/>
        </w:rPr>
      </w:pPr>
    </w:p>
    <w:p w:rsidR="009E462A" w:rsidRPr="00CF2948" w:rsidRDefault="007221F0" w:rsidP="007F4A38">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 közbeszerzés tárgya és mennyisége:</w:t>
      </w:r>
    </w:p>
    <w:p w:rsidR="005D2ACE" w:rsidRPr="00CF2948" w:rsidRDefault="005D2ACE" w:rsidP="007221F0">
      <w:pPr>
        <w:ind w:left="567"/>
        <w:contextualSpacing/>
        <w:jc w:val="both"/>
        <w:rPr>
          <w:rFonts w:asciiTheme="minorHAnsi" w:eastAsia="Calibri" w:hAnsiTheme="minorHAnsi" w:cstheme="minorHAnsi"/>
          <w:sz w:val="22"/>
          <w:szCs w:val="22"/>
        </w:rPr>
      </w:pPr>
    </w:p>
    <w:p w:rsidR="00CF2948" w:rsidRPr="00CF2948" w:rsidRDefault="00CF2948" w:rsidP="00CF2948">
      <w:pPr>
        <w:widowControl w:val="0"/>
        <w:ind w:left="567"/>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Vállalkozási szerződés a Kenyérgyár utca út- és járdafelújítására</w:t>
      </w:r>
    </w:p>
    <w:p w:rsidR="00CF2948" w:rsidRPr="00CF2948" w:rsidRDefault="00CF2948" w:rsidP="00CF2948">
      <w:pPr>
        <w:widowControl w:val="0"/>
        <w:ind w:left="567"/>
        <w:jc w:val="both"/>
        <w:rPr>
          <w:rFonts w:asciiTheme="minorHAnsi" w:hAnsiTheme="minorHAnsi" w:cstheme="minorHAnsi"/>
          <w:sz w:val="22"/>
          <w:szCs w:val="22"/>
          <w:highlight w:val="yellow"/>
          <w:lang w:eastAsia="ar-SA"/>
        </w:rPr>
      </w:pPr>
    </w:p>
    <w:p w:rsidR="00CF2948" w:rsidRPr="00CF2948" w:rsidRDefault="00CF2948" w:rsidP="00CF2948">
      <w:pPr>
        <w:widowControl w:val="0"/>
        <w:numPr>
          <w:ilvl w:val="0"/>
          <w:numId w:val="6"/>
        </w:numPr>
        <w:suppressAutoHyphens/>
        <w:ind w:left="1134" w:hanging="567"/>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Nyertes ajánlattevő feladata:</w:t>
      </w:r>
    </w:p>
    <w:p w:rsidR="00CF2948" w:rsidRPr="00CF2948" w:rsidRDefault="00CF2948" w:rsidP="00CF2948">
      <w:pPr>
        <w:widowControl w:val="0"/>
        <w:ind w:left="1134"/>
        <w:jc w:val="both"/>
        <w:rPr>
          <w:rFonts w:asciiTheme="minorHAnsi" w:hAnsiTheme="minorHAnsi" w:cstheme="minorHAnsi"/>
          <w:sz w:val="22"/>
          <w:szCs w:val="22"/>
          <w:lang w:eastAsia="ar-SA"/>
        </w:rPr>
      </w:pP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Kaposvár, Kenyérgyár utca teljes hosszában út- és járdafelújítás kivitelezési munkái.</w:t>
      </w:r>
    </w:p>
    <w:p w:rsidR="00CF2948" w:rsidRPr="00CF2948" w:rsidRDefault="00CF2948" w:rsidP="00CF2948">
      <w:pPr>
        <w:widowControl w:val="0"/>
        <w:ind w:left="1134"/>
        <w:jc w:val="both"/>
        <w:rPr>
          <w:rFonts w:asciiTheme="minorHAnsi" w:hAnsiTheme="minorHAnsi" w:cstheme="minorHAnsi"/>
          <w:sz w:val="22"/>
          <w:szCs w:val="22"/>
          <w:highlight w:val="yellow"/>
          <w:lang w:eastAsia="ar-SA"/>
        </w:rPr>
      </w:pPr>
    </w:p>
    <w:p w:rsidR="00CF2948" w:rsidRPr="00CF2948" w:rsidRDefault="00CF2948" w:rsidP="00CF2948">
      <w:pPr>
        <w:widowControl w:val="0"/>
        <w:numPr>
          <w:ilvl w:val="0"/>
          <w:numId w:val="6"/>
        </w:numPr>
        <w:suppressAutoHyphens/>
        <w:ind w:left="1134" w:hanging="567"/>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Az építmény, az építési munka meghatározó paraméterei:</w:t>
      </w:r>
    </w:p>
    <w:p w:rsidR="00CF2948" w:rsidRPr="00CF2948" w:rsidRDefault="00CF2948" w:rsidP="00CF2948">
      <w:pPr>
        <w:widowControl w:val="0"/>
        <w:ind w:left="1134"/>
        <w:jc w:val="both"/>
        <w:rPr>
          <w:rFonts w:asciiTheme="minorHAnsi" w:hAnsiTheme="minorHAnsi" w:cstheme="minorHAnsi"/>
          <w:sz w:val="22"/>
          <w:szCs w:val="22"/>
          <w:lang w:eastAsia="ar-SA"/>
        </w:rPr>
      </w:pP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w:t>
      </w:r>
      <w:r w:rsidRPr="00CF2948">
        <w:rPr>
          <w:rFonts w:asciiTheme="minorHAnsi" w:hAnsiTheme="minorHAnsi" w:cstheme="minorHAnsi"/>
          <w:sz w:val="22"/>
          <w:szCs w:val="22"/>
          <w:lang w:eastAsia="ar-SA"/>
        </w:rPr>
        <w:tab/>
        <w:t>2842 m2 útburkolat felújítás aszfalttal 317 fm hosszon</w:t>
      </w: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w:t>
      </w:r>
      <w:r w:rsidRPr="00CF2948">
        <w:rPr>
          <w:rFonts w:asciiTheme="minorHAnsi" w:hAnsiTheme="minorHAnsi" w:cstheme="minorHAnsi"/>
          <w:sz w:val="22"/>
          <w:szCs w:val="22"/>
          <w:lang w:eastAsia="ar-SA"/>
        </w:rPr>
        <w:tab/>
        <w:t>Burkolatmarás 640 m2 felületen</w:t>
      </w: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w:t>
      </w:r>
      <w:r w:rsidRPr="00CF2948">
        <w:rPr>
          <w:rFonts w:asciiTheme="minorHAnsi" w:hAnsiTheme="minorHAnsi" w:cstheme="minorHAnsi"/>
          <w:sz w:val="22"/>
          <w:szCs w:val="22"/>
          <w:lang w:eastAsia="ar-SA"/>
        </w:rPr>
        <w:tab/>
        <w:t>Szegély bontása, építése 585 fm hosszon</w:t>
      </w: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w:t>
      </w:r>
      <w:r w:rsidRPr="00CF2948">
        <w:rPr>
          <w:rFonts w:asciiTheme="minorHAnsi" w:hAnsiTheme="minorHAnsi" w:cstheme="minorHAnsi"/>
          <w:sz w:val="22"/>
          <w:szCs w:val="22"/>
          <w:lang w:eastAsia="ar-SA"/>
        </w:rPr>
        <w:tab/>
        <w:t>2842 m2 járdaburkolat felújítás aszfalttal 320 fm hosszon</w:t>
      </w:r>
    </w:p>
    <w:p w:rsidR="00CF2948" w:rsidRPr="00CF2948" w:rsidRDefault="00CF2948" w:rsidP="00CF2948">
      <w:pPr>
        <w:widowControl w:val="0"/>
        <w:ind w:left="1134"/>
        <w:jc w:val="both"/>
        <w:rPr>
          <w:rFonts w:asciiTheme="minorHAnsi" w:hAnsiTheme="minorHAnsi" w:cstheme="minorHAnsi"/>
          <w:sz w:val="22"/>
          <w:szCs w:val="22"/>
          <w:lang w:eastAsia="ar-SA"/>
        </w:rPr>
      </w:pPr>
    </w:p>
    <w:p w:rsidR="00CF2948" w:rsidRPr="00CF2948" w:rsidRDefault="00CF2948" w:rsidP="00CF2948">
      <w:pPr>
        <w:widowControl w:val="0"/>
        <w:numPr>
          <w:ilvl w:val="0"/>
          <w:numId w:val="6"/>
        </w:numPr>
        <w:suppressAutoHyphens/>
        <w:ind w:left="1134" w:hanging="567"/>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 xml:space="preserve">Az építési munka jellege: felújítás </w:t>
      </w:r>
    </w:p>
    <w:p w:rsidR="00CF2948" w:rsidRPr="00CF2948" w:rsidRDefault="00CF2948" w:rsidP="00CF2948">
      <w:pPr>
        <w:widowControl w:val="0"/>
        <w:ind w:left="1134"/>
        <w:jc w:val="both"/>
        <w:rPr>
          <w:rFonts w:asciiTheme="minorHAnsi" w:hAnsiTheme="minorHAnsi" w:cstheme="minorHAnsi"/>
          <w:sz w:val="22"/>
          <w:szCs w:val="22"/>
          <w:lang w:eastAsia="ar-SA"/>
        </w:rPr>
      </w:pPr>
    </w:p>
    <w:p w:rsidR="00CF2948" w:rsidRPr="00CF2948" w:rsidRDefault="00CF2948" w:rsidP="00CF2948">
      <w:pPr>
        <w:widowControl w:val="0"/>
        <w:ind w:left="1134"/>
        <w:jc w:val="both"/>
        <w:rPr>
          <w:rFonts w:asciiTheme="minorHAnsi" w:hAnsiTheme="minorHAnsi" w:cstheme="minorHAnsi"/>
          <w:sz w:val="22"/>
          <w:szCs w:val="22"/>
          <w:lang w:eastAsia="ar-SA"/>
        </w:rPr>
      </w:pPr>
      <w:r w:rsidRPr="00CF2948">
        <w:rPr>
          <w:rFonts w:asciiTheme="minorHAnsi" w:hAnsiTheme="minorHAnsi" w:cstheme="minorHAnsi"/>
          <w:sz w:val="22"/>
          <w:szCs w:val="22"/>
          <w:lang w:eastAsia="ar-SA"/>
        </w:rPr>
        <w:t>A teljes mennyiség és a műszaki leírás a dokumentációban kerül részletesen kifejtésre.</w:t>
      </w:r>
    </w:p>
    <w:p w:rsidR="00CF2948" w:rsidRPr="00CF2948" w:rsidRDefault="00CF2948" w:rsidP="00CF2948">
      <w:pPr>
        <w:widowControl w:val="0"/>
        <w:ind w:left="1134"/>
        <w:jc w:val="both"/>
        <w:rPr>
          <w:rFonts w:asciiTheme="minorHAnsi" w:hAnsiTheme="minorHAnsi" w:cstheme="minorHAnsi"/>
          <w:sz w:val="22"/>
          <w:szCs w:val="22"/>
          <w:lang w:eastAsia="ar-SA"/>
        </w:rPr>
      </w:pPr>
    </w:p>
    <w:p w:rsidR="00CF2948" w:rsidRPr="00CF2948" w:rsidRDefault="00CF2948" w:rsidP="00CF2948">
      <w:pPr>
        <w:widowControl w:val="0"/>
        <w:ind w:left="1134"/>
        <w:jc w:val="both"/>
        <w:rPr>
          <w:rFonts w:asciiTheme="minorHAnsi" w:hAnsiTheme="minorHAnsi" w:cstheme="minorHAnsi"/>
          <w:bCs/>
          <w:sz w:val="22"/>
          <w:szCs w:val="22"/>
          <w:lang w:eastAsia="ar-SA"/>
        </w:rPr>
      </w:pPr>
      <w:r w:rsidRPr="00CF2948">
        <w:rPr>
          <w:rFonts w:asciiTheme="minorHAnsi" w:hAnsiTheme="minorHAnsi" w:cstheme="minorHAnsi"/>
          <w:sz w:val="22"/>
          <w:szCs w:val="22"/>
          <w:lang w:eastAsia="ar-SA"/>
        </w:rPr>
        <w:t>A munka nem építési engedély köteles.</w:t>
      </w:r>
    </w:p>
    <w:p w:rsidR="00CF2948" w:rsidRPr="00CF2948" w:rsidRDefault="00CF2948" w:rsidP="00CF2948">
      <w:pPr>
        <w:widowControl w:val="0"/>
        <w:ind w:left="567"/>
        <w:jc w:val="both"/>
        <w:rPr>
          <w:rFonts w:asciiTheme="minorHAnsi" w:hAnsiTheme="minorHAnsi" w:cstheme="minorHAnsi"/>
          <w:bCs/>
          <w:sz w:val="22"/>
          <w:szCs w:val="22"/>
          <w:lang w:eastAsia="ar-SA"/>
        </w:rPr>
      </w:pPr>
    </w:p>
    <w:p w:rsidR="00CF2948" w:rsidRPr="00CF2948" w:rsidRDefault="00CF2948" w:rsidP="00CF2948">
      <w:pPr>
        <w:widowControl w:val="0"/>
        <w:ind w:left="567"/>
        <w:jc w:val="both"/>
        <w:rPr>
          <w:rFonts w:asciiTheme="minorHAnsi" w:hAnsiTheme="minorHAnsi" w:cstheme="minorHAnsi"/>
          <w:bCs/>
          <w:sz w:val="22"/>
          <w:szCs w:val="22"/>
          <w:lang w:eastAsia="ar-SA"/>
        </w:rPr>
      </w:pPr>
      <w:r w:rsidRPr="00CF2948">
        <w:rPr>
          <w:rFonts w:asciiTheme="minorHAnsi" w:hAnsiTheme="minorHAnsi" w:cstheme="minorHAnsi"/>
          <w:bCs/>
          <w:sz w:val="22"/>
          <w:szCs w:val="22"/>
          <w:lang w:eastAsia="ar-SA"/>
        </w:rPr>
        <w:t>Amennyiben a felhívás, illetve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rsidR="007221F0" w:rsidRPr="00CF2948" w:rsidRDefault="007221F0" w:rsidP="007221F0">
      <w:pPr>
        <w:ind w:left="567"/>
        <w:contextualSpacing/>
        <w:jc w:val="both"/>
        <w:rPr>
          <w:rFonts w:asciiTheme="minorHAnsi" w:eastAsia="Calibri" w:hAnsiTheme="minorHAnsi" w:cstheme="minorHAnsi"/>
          <w:sz w:val="22"/>
          <w:szCs w:val="22"/>
        </w:rPr>
      </w:pPr>
    </w:p>
    <w:p w:rsidR="007F4A38" w:rsidRPr="00CF2948" w:rsidRDefault="007221F0" w:rsidP="007F4A38">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3.</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 választott eljárás fajtája:</w:t>
      </w:r>
      <w:r w:rsidR="00D91EA6" w:rsidRPr="00CF2948">
        <w:rPr>
          <w:rFonts w:asciiTheme="minorHAnsi" w:hAnsiTheme="minorHAnsi" w:cstheme="minorHAnsi"/>
          <w:sz w:val="22"/>
          <w:szCs w:val="22"/>
        </w:rPr>
        <w:t xml:space="preserve">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9E462A" w:rsidRPr="00CF2948" w:rsidRDefault="007F4A38" w:rsidP="007F4A38">
      <w:pPr>
        <w:autoSpaceDE w:val="0"/>
        <w:autoSpaceDN w:val="0"/>
        <w:adjustRightInd w:val="0"/>
        <w:ind w:left="567"/>
        <w:jc w:val="both"/>
        <w:rPr>
          <w:rFonts w:asciiTheme="minorHAnsi" w:hAnsiTheme="minorHAnsi" w:cstheme="minorHAnsi"/>
          <w:sz w:val="22"/>
          <w:szCs w:val="22"/>
        </w:rPr>
      </w:pPr>
      <w:r w:rsidRPr="00CF2948">
        <w:rPr>
          <w:rFonts w:asciiTheme="minorHAnsi" w:hAnsiTheme="minorHAnsi" w:cstheme="minorHAnsi"/>
          <w:sz w:val="22"/>
          <w:szCs w:val="22"/>
        </w:rPr>
        <w:t>A</w:t>
      </w:r>
      <w:r w:rsidR="00994432" w:rsidRPr="00CF2948">
        <w:rPr>
          <w:rFonts w:asciiTheme="minorHAnsi" w:hAnsiTheme="minorHAnsi" w:cstheme="minorHAnsi"/>
          <w:sz w:val="22"/>
          <w:szCs w:val="22"/>
        </w:rPr>
        <w:t xml:space="preserve"> Kbt. 122</w:t>
      </w:r>
      <w:r w:rsidR="00CF2948" w:rsidRPr="00CF2948">
        <w:rPr>
          <w:rFonts w:asciiTheme="minorHAnsi" w:hAnsiTheme="minorHAnsi" w:cstheme="minorHAnsi"/>
          <w:sz w:val="22"/>
          <w:szCs w:val="22"/>
        </w:rPr>
        <w:t>/A</w:t>
      </w:r>
      <w:r w:rsidR="00994432" w:rsidRPr="00CF2948">
        <w:rPr>
          <w:rFonts w:asciiTheme="minorHAnsi" w:hAnsiTheme="minorHAnsi" w:cstheme="minorHAnsi"/>
          <w:sz w:val="22"/>
          <w:szCs w:val="22"/>
        </w:rPr>
        <w:t>. § szerinti, hirdetmény közzététele nélküli tárgyalás</w:t>
      </w:r>
      <w:r w:rsidR="00CF2948" w:rsidRPr="00CF2948">
        <w:rPr>
          <w:rFonts w:asciiTheme="minorHAnsi" w:hAnsiTheme="minorHAnsi" w:cstheme="minorHAnsi"/>
          <w:sz w:val="22"/>
          <w:szCs w:val="22"/>
        </w:rPr>
        <w:t xml:space="preserve"> nélküli</w:t>
      </w:r>
      <w:r w:rsidR="00994432" w:rsidRPr="00CF2948">
        <w:rPr>
          <w:rFonts w:asciiTheme="minorHAnsi" w:hAnsiTheme="minorHAnsi" w:cstheme="minorHAnsi"/>
          <w:sz w:val="22"/>
          <w:szCs w:val="22"/>
        </w:rPr>
        <w:t>, nemzeti közbeszerzési eljárás</w:t>
      </w:r>
      <w:r w:rsidR="007221F0" w:rsidRPr="00CF2948">
        <w:rPr>
          <w:rFonts w:asciiTheme="minorHAnsi" w:hAnsiTheme="minorHAnsi" w:cstheme="minorHAnsi"/>
          <w:sz w:val="22"/>
          <w:szCs w:val="22"/>
        </w:rPr>
        <w:t>.</w:t>
      </w:r>
    </w:p>
    <w:p w:rsidR="007F4A38" w:rsidRPr="00CF2948" w:rsidRDefault="007F4A38" w:rsidP="007221F0">
      <w:pPr>
        <w:ind w:left="567"/>
        <w:jc w:val="both"/>
        <w:rPr>
          <w:rFonts w:asciiTheme="minorHAnsi" w:hAnsiTheme="minorHAnsi" w:cstheme="minorHAnsi"/>
          <w:sz w:val="22"/>
          <w:szCs w:val="22"/>
        </w:rPr>
      </w:pPr>
    </w:p>
    <w:p w:rsidR="007F4A38" w:rsidRPr="00CF2948" w:rsidRDefault="0037029E" w:rsidP="007F4A38">
      <w:pPr>
        <w:tabs>
          <w:tab w:val="left" w:pos="0"/>
        </w:tabs>
        <w:ind w:left="567" w:hanging="567"/>
        <w:jc w:val="both"/>
        <w:rPr>
          <w:rFonts w:asciiTheme="minorHAnsi" w:hAnsiTheme="minorHAnsi" w:cstheme="minorHAnsi"/>
          <w:sz w:val="22"/>
          <w:szCs w:val="22"/>
        </w:rPr>
      </w:pPr>
      <w:r w:rsidRPr="00CF2948">
        <w:rPr>
          <w:rFonts w:asciiTheme="minorHAnsi" w:hAnsiTheme="minorHAnsi" w:cstheme="minorHAnsi"/>
          <w:sz w:val="22"/>
          <w:szCs w:val="22"/>
        </w:rPr>
        <w:t>4.</w:t>
      </w:r>
      <w:r w:rsidR="007F4A38" w:rsidRPr="00CF2948">
        <w:rPr>
          <w:rFonts w:asciiTheme="minorHAnsi" w:hAnsiTheme="minorHAnsi" w:cstheme="minorHAnsi"/>
          <w:sz w:val="22"/>
          <w:szCs w:val="22"/>
        </w:rPr>
        <w:tab/>
      </w:r>
      <w:r w:rsidRPr="00CF2948">
        <w:rPr>
          <w:rFonts w:asciiTheme="minorHAnsi" w:hAnsiTheme="minorHAnsi" w:cstheme="minorHAnsi"/>
          <w:sz w:val="22"/>
          <w:szCs w:val="22"/>
        </w:rPr>
        <w:t xml:space="preserve">Hirdetmény nélküli tárgyalásos eljárás esetén az eljárás alkalmazását megalapozó körülmények ismertetése: </w:t>
      </w:r>
    </w:p>
    <w:p w:rsidR="007F4A38" w:rsidRPr="00CF2948" w:rsidRDefault="007F4A38" w:rsidP="007221F0">
      <w:pPr>
        <w:ind w:left="567"/>
        <w:jc w:val="both"/>
        <w:rPr>
          <w:rFonts w:asciiTheme="minorHAnsi" w:hAnsiTheme="minorHAnsi" w:cstheme="minorHAnsi"/>
          <w:sz w:val="22"/>
          <w:szCs w:val="22"/>
        </w:rPr>
      </w:pPr>
    </w:p>
    <w:p w:rsidR="0037029E" w:rsidRPr="00CF2948" w:rsidRDefault="00CF2948" w:rsidP="007F4A38">
      <w:pPr>
        <w:ind w:left="567"/>
        <w:jc w:val="both"/>
        <w:rPr>
          <w:rFonts w:asciiTheme="minorHAnsi" w:hAnsiTheme="minorHAnsi" w:cstheme="minorHAnsi"/>
          <w:sz w:val="22"/>
          <w:szCs w:val="22"/>
        </w:rPr>
      </w:pPr>
      <w:r>
        <w:rPr>
          <w:rFonts w:asciiTheme="minorHAnsi" w:hAnsiTheme="minorHAnsi" w:cstheme="minorHAnsi"/>
          <w:sz w:val="22"/>
          <w:szCs w:val="22"/>
        </w:rPr>
        <w:t>-</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37029E" w:rsidRPr="00CF2948" w:rsidRDefault="007221F0" w:rsidP="007F4A38">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5.</w:t>
      </w:r>
      <w:r w:rsidR="007F4A38" w:rsidRPr="00CF2948">
        <w:rPr>
          <w:rFonts w:asciiTheme="minorHAnsi" w:hAnsiTheme="minorHAnsi" w:cstheme="minorHAnsi"/>
          <w:sz w:val="22"/>
          <w:szCs w:val="22"/>
        </w:rPr>
        <w:tab/>
      </w:r>
      <w:r w:rsidR="0037029E" w:rsidRPr="00CF2948">
        <w:rPr>
          <w:rFonts w:asciiTheme="minorHAnsi" w:hAnsiTheme="minorHAnsi" w:cstheme="minorHAnsi"/>
          <w:sz w:val="22"/>
          <w:szCs w:val="22"/>
        </w:rPr>
        <w:t>Hivatkozás az előzetes összesített tájékoztatóra, illetve az időszakos előzetes tájékozta</w:t>
      </w:r>
      <w:r w:rsidRPr="00CF2948">
        <w:rPr>
          <w:rFonts w:asciiTheme="minorHAnsi" w:hAnsiTheme="minorHAnsi" w:cstheme="minorHAnsi"/>
          <w:sz w:val="22"/>
          <w:szCs w:val="22"/>
        </w:rPr>
        <w:t xml:space="preserve">tóra és közzétételének napja: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CF2948" w:rsidRDefault="00CF2948">
      <w:pPr>
        <w:rPr>
          <w:rFonts w:asciiTheme="minorHAnsi" w:hAnsiTheme="minorHAnsi" w:cstheme="minorHAnsi"/>
          <w:sz w:val="22"/>
          <w:szCs w:val="22"/>
        </w:rPr>
      </w:pPr>
      <w:r>
        <w:rPr>
          <w:rFonts w:asciiTheme="minorHAnsi" w:hAnsiTheme="minorHAnsi" w:cstheme="minorHAnsi"/>
          <w:sz w:val="22"/>
          <w:szCs w:val="22"/>
        </w:rPr>
        <w:br w:type="page"/>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5D2ACE" w:rsidRPr="00CF2948" w:rsidRDefault="007221F0" w:rsidP="007F4A38">
      <w:pPr>
        <w:autoSpaceDE w:val="0"/>
        <w:autoSpaceDN w:val="0"/>
        <w:adjustRightInd w:val="0"/>
        <w:ind w:left="567" w:hanging="567"/>
        <w:jc w:val="both"/>
        <w:rPr>
          <w:rFonts w:asciiTheme="minorHAnsi" w:hAnsiTheme="minorHAnsi" w:cstheme="minorHAnsi"/>
          <w:bCs/>
          <w:sz w:val="22"/>
          <w:szCs w:val="22"/>
        </w:rPr>
      </w:pPr>
      <w:r w:rsidRPr="00CF2948">
        <w:rPr>
          <w:rFonts w:asciiTheme="minorHAnsi" w:hAnsiTheme="minorHAnsi" w:cstheme="minorHAnsi"/>
          <w:sz w:val="22"/>
          <w:szCs w:val="22"/>
        </w:rPr>
        <w:t>6.</w:t>
      </w:r>
      <w:r w:rsidR="007F4A38" w:rsidRPr="00CF2948">
        <w:rPr>
          <w:rFonts w:asciiTheme="minorHAnsi" w:hAnsiTheme="minorHAnsi" w:cstheme="minorHAnsi"/>
          <w:sz w:val="22"/>
          <w:szCs w:val="22"/>
        </w:rPr>
        <w:tab/>
      </w:r>
      <w:r w:rsidR="0037029E" w:rsidRPr="00CF2948">
        <w:rPr>
          <w:rFonts w:asciiTheme="minorHAnsi" w:hAnsiTheme="minorHAnsi" w:cstheme="minorHAnsi"/>
          <w:sz w:val="22"/>
          <w:szCs w:val="22"/>
        </w:rPr>
        <w:t xml:space="preserve">Hivatkozás az eljárást megindító, illetve meghirdető hirdetményre (felhívásra) és közzétételének/megküldésének napja: </w:t>
      </w:r>
    </w:p>
    <w:p w:rsidR="007F4A38" w:rsidRPr="00CF2948" w:rsidRDefault="007F4A38" w:rsidP="007221F0">
      <w:pPr>
        <w:autoSpaceDE w:val="0"/>
        <w:autoSpaceDN w:val="0"/>
        <w:adjustRightInd w:val="0"/>
        <w:ind w:left="567"/>
        <w:jc w:val="both"/>
        <w:rPr>
          <w:rFonts w:asciiTheme="minorHAnsi" w:hAnsiTheme="minorHAnsi" w:cstheme="minorHAnsi"/>
          <w:bCs/>
          <w:sz w:val="22"/>
          <w:szCs w:val="22"/>
        </w:rPr>
      </w:pPr>
    </w:p>
    <w:p w:rsidR="007F4A38" w:rsidRPr="00CF2948" w:rsidRDefault="00CF2948" w:rsidP="007221F0">
      <w:pPr>
        <w:autoSpaceDE w:val="0"/>
        <w:autoSpaceDN w:val="0"/>
        <w:adjustRightInd w:val="0"/>
        <w:ind w:left="567"/>
        <w:jc w:val="both"/>
        <w:rPr>
          <w:rFonts w:asciiTheme="minorHAnsi" w:hAnsiTheme="minorHAnsi" w:cstheme="minorHAnsi"/>
          <w:sz w:val="22"/>
          <w:szCs w:val="22"/>
        </w:rPr>
      </w:pPr>
      <w:r w:rsidRPr="00CF2948">
        <w:rPr>
          <w:rFonts w:asciiTheme="minorHAnsi" w:hAnsiTheme="minorHAnsi" w:cstheme="minorHAnsi"/>
          <w:sz w:val="22"/>
          <w:szCs w:val="22"/>
        </w:rPr>
        <w:t>Az eljárást megindító felhívás 2014. november 20. napján került megküldésre az ajánlattevők részére.</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9E462A" w:rsidRPr="00CF2948" w:rsidRDefault="0037029E" w:rsidP="007F4A38">
      <w:pPr>
        <w:tabs>
          <w:tab w:val="left" w:pos="567"/>
          <w:tab w:val="left" w:pos="1134"/>
        </w:tabs>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7</w:t>
      </w:r>
      <w:r w:rsidR="007221F0" w:rsidRPr="00CF2948">
        <w:rPr>
          <w:rFonts w:asciiTheme="minorHAnsi" w:hAnsiTheme="minorHAnsi" w:cstheme="minorHAnsi"/>
          <w:sz w:val="22"/>
          <w:szCs w:val="22"/>
        </w:rPr>
        <w:t>.</w:t>
      </w:r>
      <w:r w:rsidR="007F4A38" w:rsidRPr="00CF2948">
        <w:rPr>
          <w:rFonts w:asciiTheme="minorHAnsi" w:hAnsiTheme="minorHAnsi" w:cstheme="minorHAnsi"/>
          <w:sz w:val="22"/>
          <w:szCs w:val="22"/>
        </w:rPr>
        <w:tab/>
        <w:t>a)</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Eredményes volt-e az eljárás:</w:t>
      </w:r>
      <w:r w:rsidR="00D91EA6" w:rsidRPr="00CF2948">
        <w:rPr>
          <w:rFonts w:asciiTheme="minorHAnsi" w:hAnsiTheme="minorHAnsi" w:cstheme="minorHAnsi"/>
          <w:sz w:val="22"/>
          <w:szCs w:val="22"/>
        </w:rPr>
        <w:t xml:space="preserve"> </w:t>
      </w:r>
    </w:p>
    <w:p w:rsidR="007F4A38" w:rsidRPr="00CF2948" w:rsidRDefault="007F4A38"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Igen</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9E462A" w:rsidRPr="00CF2948" w:rsidRDefault="009E462A" w:rsidP="007F4A38">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b)</w:t>
      </w:r>
      <w:r w:rsidR="007F4A38" w:rsidRPr="00CF2948">
        <w:rPr>
          <w:rFonts w:asciiTheme="minorHAnsi" w:hAnsiTheme="minorHAnsi" w:cstheme="minorHAnsi"/>
          <w:sz w:val="22"/>
          <w:szCs w:val="22"/>
        </w:rPr>
        <w:tab/>
      </w:r>
      <w:r w:rsidRPr="00CF2948">
        <w:rPr>
          <w:rFonts w:asciiTheme="minorHAnsi" w:hAnsiTheme="minorHAnsi" w:cstheme="minorHAnsi"/>
          <w:sz w:val="22"/>
          <w:szCs w:val="22"/>
        </w:rPr>
        <w:t>Eredménytelen eljárás esetén az eredménytelenség indoka</w:t>
      </w:r>
      <w:r w:rsidR="00CD770F" w:rsidRPr="00CF2948">
        <w:rPr>
          <w:rFonts w:asciiTheme="minorHAnsi" w:hAnsiTheme="minorHAnsi" w:cstheme="minorHAnsi"/>
          <w:sz w:val="22"/>
          <w:szCs w:val="22"/>
        </w:rPr>
        <w:t xml:space="preserve">, </w:t>
      </w:r>
      <w:r w:rsidR="00F623F0" w:rsidRPr="00CF2948">
        <w:rPr>
          <w:rFonts w:asciiTheme="minorHAnsi" w:hAnsiTheme="minorHAnsi" w:cstheme="minorHAnsi"/>
          <w:sz w:val="22"/>
          <w:szCs w:val="22"/>
        </w:rPr>
        <w:t xml:space="preserve">továbbá </w:t>
      </w:r>
      <w:r w:rsidR="0037029E" w:rsidRPr="00CF2948">
        <w:rPr>
          <w:rFonts w:asciiTheme="minorHAnsi" w:hAnsiTheme="minorHAnsi" w:cstheme="minorHAnsi"/>
          <w:sz w:val="22"/>
          <w:szCs w:val="22"/>
        </w:rPr>
        <w:t>a Kbt. 76</w:t>
      </w:r>
      <w:r w:rsidR="00CD770F" w:rsidRPr="00CF2948">
        <w:rPr>
          <w:rFonts w:asciiTheme="minorHAnsi" w:hAnsiTheme="minorHAnsi" w:cstheme="minorHAnsi"/>
          <w:sz w:val="22"/>
          <w:szCs w:val="22"/>
        </w:rPr>
        <w:t>. §</w:t>
      </w:r>
      <w:r w:rsidR="0037029E" w:rsidRPr="00CF2948">
        <w:rPr>
          <w:rFonts w:asciiTheme="minorHAnsi" w:hAnsiTheme="minorHAnsi" w:cstheme="minorHAnsi"/>
          <w:sz w:val="22"/>
          <w:szCs w:val="22"/>
        </w:rPr>
        <w:t xml:space="preserve"> (1) bekezdés d</w:t>
      </w:r>
      <w:r w:rsidR="00CD770F" w:rsidRPr="00CF2948">
        <w:rPr>
          <w:rFonts w:asciiTheme="minorHAnsi" w:hAnsiTheme="minorHAnsi" w:cstheme="minorHAnsi"/>
          <w:i/>
          <w:sz w:val="22"/>
          <w:szCs w:val="22"/>
        </w:rPr>
        <w:t>)</w:t>
      </w:r>
      <w:r w:rsidR="00CD770F" w:rsidRPr="00CF2948">
        <w:rPr>
          <w:rFonts w:asciiTheme="minorHAnsi" w:hAnsiTheme="minorHAnsi" w:cstheme="minorHAnsi"/>
          <w:sz w:val="22"/>
          <w:szCs w:val="22"/>
        </w:rPr>
        <w:t xml:space="preserve"> pontja szerinti eredménytelenségi esetben </w:t>
      </w:r>
      <w:r w:rsidR="0037029E" w:rsidRPr="00CF2948">
        <w:rPr>
          <w:rFonts w:asciiTheme="minorHAnsi" w:hAnsiTheme="minorHAnsi" w:cstheme="minorHAnsi"/>
          <w:sz w:val="22"/>
          <w:szCs w:val="22"/>
        </w:rPr>
        <w:t>a közbeszerzésre tervezett anyagi fedezet összege, és annak megadása, hogy az mikor és milyen okból került elvonásra, átcsoportosításra</w:t>
      </w:r>
      <w:r w:rsidRPr="00CF2948">
        <w:rPr>
          <w:rFonts w:asciiTheme="minorHAnsi" w:hAnsiTheme="minorHAnsi" w:cstheme="minorHAnsi"/>
          <w:sz w:val="22"/>
          <w:szCs w:val="22"/>
        </w:rPr>
        <w:t>:</w:t>
      </w:r>
      <w:r w:rsidR="00994432" w:rsidRPr="00CF2948">
        <w:rPr>
          <w:rFonts w:asciiTheme="minorHAnsi" w:hAnsiTheme="minorHAnsi" w:cstheme="minorHAnsi"/>
          <w:sz w:val="22"/>
          <w:szCs w:val="22"/>
        </w:rPr>
        <w:t xml:space="preserve"> </w:t>
      </w:r>
    </w:p>
    <w:p w:rsidR="007F4A38" w:rsidRPr="00CF2948" w:rsidRDefault="007F4A38"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9E462A" w:rsidRPr="00CF2948" w:rsidRDefault="009E462A" w:rsidP="007F4A38">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c)</w:t>
      </w:r>
      <w:r w:rsidR="007F4A38" w:rsidRPr="00CF2948">
        <w:rPr>
          <w:rFonts w:asciiTheme="minorHAnsi" w:hAnsiTheme="minorHAnsi" w:cstheme="minorHAnsi"/>
          <w:sz w:val="22"/>
          <w:szCs w:val="22"/>
        </w:rPr>
        <w:tab/>
      </w:r>
      <w:r w:rsidRPr="00CF2948">
        <w:rPr>
          <w:rFonts w:asciiTheme="minorHAnsi" w:hAnsiTheme="minorHAnsi" w:cstheme="minorHAnsi"/>
          <w:sz w:val="22"/>
          <w:szCs w:val="22"/>
        </w:rPr>
        <w:t>Az eredménytelen eljárá</w:t>
      </w:r>
      <w:r w:rsidR="007F4A38" w:rsidRPr="00CF2948">
        <w:rPr>
          <w:rFonts w:asciiTheme="minorHAnsi" w:hAnsiTheme="minorHAnsi" w:cstheme="minorHAnsi"/>
          <w:sz w:val="22"/>
          <w:szCs w:val="22"/>
        </w:rPr>
        <w:t>st követően indul-e új eljárás:</w:t>
      </w:r>
    </w:p>
    <w:p w:rsidR="007F4A38" w:rsidRPr="00CF2948" w:rsidRDefault="007F4A38"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9E462A" w:rsidRPr="00CF2948" w:rsidRDefault="0037029E" w:rsidP="007F4A38">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8</w:t>
      </w:r>
      <w:r w:rsidR="007221F0" w:rsidRPr="00CF2948">
        <w:rPr>
          <w:rFonts w:asciiTheme="minorHAnsi" w:hAnsiTheme="minorHAnsi" w:cstheme="minorHAnsi"/>
          <w:sz w:val="22"/>
          <w:szCs w:val="22"/>
        </w:rPr>
        <w:t>.</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 benyújtott ajánlatok száma</w:t>
      </w:r>
      <w:r w:rsidR="00F623F0" w:rsidRPr="00CF2948">
        <w:rPr>
          <w:rFonts w:asciiTheme="minorHAnsi" w:hAnsiTheme="minorHAnsi" w:cstheme="minorHAnsi"/>
          <w:sz w:val="22"/>
          <w:szCs w:val="22"/>
        </w:rPr>
        <w:t xml:space="preserve"> (részajánlat</w:t>
      </w:r>
      <w:r w:rsidRPr="00CF2948">
        <w:rPr>
          <w:rFonts w:asciiTheme="minorHAnsi" w:hAnsiTheme="minorHAnsi" w:cstheme="minorHAnsi"/>
          <w:sz w:val="22"/>
          <w:szCs w:val="22"/>
        </w:rPr>
        <w:t>-</w:t>
      </w:r>
      <w:r w:rsidR="00F623F0" w:rsidRPr="00CF2948">
        <w:rPr>
          <w:rFonts w:asciiTheme="minorHAnsi" w:hAnsiTheme="minorHAnsi" w:cstheme="minorHAnsi"/>
          <w:sz w:val="22"/>
          <w:szCs w:val="22"/>
        </w:rPr>
        <w:t>tételi lehetőség esetén részenként)</w:t>
      </w:r>
      <w:r w:rsidR="009E462A" w:rsidRPr="00CF2948">
        <w:rPr>
          <w:rFonts w:asciiTheme="minorHAnsi" w:hAnsiTheme="minorHAnsi" w:cstheme="minorHAnsi"/>
          <w:sz w:val="22"/>
          <w:szCs w:val="22"/>
        </w:rPr>
        <w:t>:</w:t>
      </w:r>
      <w:r w:rsidRPr="00CF2948">
        <w:rPr>
          <w:rFonts w:asciiTheme="minorHAnsi" w:hAnsiTheme="minorHAnsi" w:cstheme="minorHAnsi"/>
          <w:sz w:val="22"/>
          <w:szCs w:val="22"/>
        </w:rPr>
        <w:t xml:space="preserve"> </w:t>
      </w:r>
    </w:p>
    <w:p w:rsidR="005D2ACE" w:rsidRPr="00CF2948" w:rsidRDefault="005D2ACE" w:rsidP="007F4A38">
      <w:pPr>
        <w:autoSpaceDE w:val="0"/>
        <w:autoSpaceDN w:val="0"/>
        <w:adjustRightInd w:val="0"/>
        <w:ind w:left="567"/>
        <w:jc w:val="both"/>
        <w:rPr>
          <w:rFonts w:asciiTheme="minorHAnsi" w:hAnsiTheme="minorHAnsi" w:cstheme="minorHAnsi"/>
          <w:sz w:val="22"/>
          <w:szCs w:val="22"/>
        </w:rPr>
      </w:pPr>
    </w:p>
    <w:p w:rsidR="007F4A38" w:rsidRPr="00CF2948" w:rsidRDefault="00CF2948" w:rsidP="007F4A38">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3 db.</w:t>
      </w:r>
    </w:p>
    <w:p w:rsidR="007F4A38" w:rsidRPr="00CF2948" w:rsidRDefault="007F4A38" w:rsidP="007F4A38">
      <w:pPr>
        <w:autoSpaceDE w:val="0"/>
        <w:autoSpaceDN w:val="0"/>
        <w:adjustRightInd w:val="0"/>
        <w:ind w:left="567"/>
        <w:jc w:val="both"/>
        <w:rPr>
          <w:rFonts w:asciiTheme="minorHAnsi" w:hAnsiTheme="minorHAnsi" w:cstheme="minorHAnsi"/>
          <w:sz w:val="22"/>
          <w:szCs w:val="22"/>
        </w:rPr>
      </w:pPr>
    </w:p>
    <w:p w:rsidR="009E462A" w:rsidRPr="00CF2948" w:rsidRDefault="0037029E" w:rsidP="007F4A38">
      <w:pPr>
        <w:tabs>
          <w:tab w:val="left" w:pos="567"/>
          <w:tab w:val="left" w:pos="1134"/>
        </w:tabs>
        <w:autoSpaceDE w:val="0"/>
        <w:autoSpaceDN w:val="0"/>
        <w:adjustRightInd w:val="0"/>
        <w:ind w:left="1134" w:hanging="1134"/>
        <w:jc w:val="both"/>
        <w:rPr>
          <w:rFonts w:asciiTheme="minorHAnsi" w:hAnsiTheme="minorHAnsi" w:cstheme="minorHAnsi"/>
          <w:sz w:val="22"/>
          <w:szCs w:val="22"/>
        </w:rPr>
      </w:pPr>
      <w:r w:rsidRPr="00CF2948">
        <w:rPr>
          <w:rFonts w:asciiTheme="minorHAnsi" w:hAnsiTheme="minorHAnsi" w:cstheme="minorHAnsi"/>
          <w:sz w:val="22"/>
          <w:szCs w:val="22"/>
        </w:rPr>
        <w:t>9</w:t>
      </w:r>
      <w:r w:rsidR="007221F0" w:rsidRPr="00CF2948">
        <w:rPr>
          <w:rFonts w:asciiTheme="minorHAnsi" w:hAnsiTheme="minorHAnsi" w:cstheme="minorHAnsi"/>
          <w:sz w:val="22"/>
          <w:szCs w:val="22"/>
        </w:rPr>
        <w:t>.</w:t>
      </w:r>
      <w:r w:rsidR="007F4A38" w:rsidRPr="00CF2948">
        <w:rPr>
          <w:rFonts w:asciiTheme="minorHAnsi" w:hAnsiTheme="minorHAnsi" w:cstheme="minorHAnsi"/>
          <w:sz w:val="22"/>
          <w:szCs w:val="22"/>
        </w:rPr>
        <w:tab/>
      </w:r>
      <w:r w:rsidR="007221F0" w:rsidRPr="00CF2948">
        <w:rPr>
          <w:rFonts w:asciiTheme="minorHAnsi" w:hAnsiTheme="minorHAnsi" w:cstheme="minorHAnsi"/>
          <w:sz w:val="22"/>
          <w:szCs w:val="22"/>
        </w:rPr>
        <w:t>a)</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Az érvényes ajánlatot tevők neve, címe</w:t>
      </w:r>
      <w:r w:rsidRPr="00CF2948">
        <w:rPr>
          <w:rFonts w:asciiTheme="minorHAnsi" w:hAnsiTheme="minorHAnsi" w:cstheme="minorHAnsi"/>
          <w:sz w:val="22"/>
          <w:szCs w:val="22"/>
        </w:rPr>
        <w:t>, alkalmasságuk indokolása és</w:t>
      </w:r>
      <w:r w:rsidR="009E462A" w:rsidRPr="00CF2948">
        <w:rPr>
          <w:rFonts w:asciiTheme="minorHAnsi" w:hAnsiTheme="minorHAnsi" w:cstheme="minorHAnsi"/>
          <w:sz w:val="22"/>
          <w:szCs w:val="22"/>
        </w:rPr>
        <w:t xml:space="preserve"> ajánlatuknak a bírálati szempont – az összességében legelőnyösebb ajánlat kiválasztása esetén annak részszempontjai – szerinti tartalmi eleme, elemei</w:t>
      </w:r>
      <w:r w:rsidR="00F623F0" w:rsidRPr="00CF2948">
        <w:rPr>
          <w:rFonts w:asciiTheme="minorHAnsi" w:hAnsiTheme="minorHAnsi" w:cstheme="minorHAnsi"/>
          <w:sz w:val="22"/>
          <w:szCs w:val="22"/>
        </w:rPr>
        <w:t xml:space="preserve"> (részajánlat</w:t>
      </w:r>
      <w:r w:rsidRPr="00CF2948">
        <w:rPr>
          <w:rFonts w:asciiTheme="minorHAnsi" w:hAnsiTheme="minorHAnsi" w:cstheme="minorHAnsi"/>
          <w:sz w:val="22"/>
          <w:szCs w:val="22"/>
        </w:rPr>
        <w:t>-</w:t>
      </w:r>
      <w:r w:rsidR="00F623F0" w:rsidRPr="00CF2948">
        <w:rPr>
          <w:rFonts w:asciiTheme="minorHAnsi" w:hAnsiTheme="minorHAnsi" w:cstheme="minorHAnsi"/>
          <w:sz w:val="22"/>
          <w:szCs w:val="22"/>
        </w:rPr>
        <w:t>tételi lehetőség esetén részenként)</w:t>
      </w:r>
      <w:r w:rsidR="009E462A" w:rsidRPr="00CF2948">
        <w:rPr>
          <w:rFonts w:asciiTheme="minorHAnsi" w:hAnsiTheme="minorHAnsi" w:cstheme="minorHAnsi"/>
          <w:sz w:val="22"/>
          <w:szCs w:val="22"/>
        </w:rPr>
        <w:t>:</w:t>
      </w:r>
      <w:r w:rsidR="00D91EA6" w:rsidRPr="00CF2948">
        <w:rPr>
          <w:rFonts w:asciiTheme="minorHAnsi" w:hAnsiTheme="minorHAnsi" w:cstheme="minorHAnsi"/>
          <w:sz w:val="22"/>
          <w:szCs w:val="22"/>
        </w:rPr>
        <w:t xml:space="preserve"> </w:t>
      </w:r>
    </w:p>
    <w:p w:rsidR="00CF2948" w:rsidRPr="00CF2948" w:rsidRDefault="00CF2948" w:rsidP="00CF2948">
      <w:pPr>
        <w:ind w:left="567"/>
        <w:jc w:val="both"/>
        <w:rPr>
          <w:rFonts w:ascii="Calibri" w:hAnsi="Calibri" w:cs="Calibri"/>
          <w:sz w:val="22"/>
          <w:szCs w:val="22"/>
        </w:rPr>
      </w:pPr>
    </w:p>
    <w:p w:rsidR="00CF2948" w:rsidRPr="00CF2948" w:rsidRDefault="00CF2948" w:rsidP="00CF2948">
      <w:pPr>
        <w:widowControl w:val="0"/>
        <w:numPr>
          <w:ilvl w:val="0"/>
          <w:numId w:val="7"/>
        </w:numPr>
        <w:tabs>
          <w:tab w:val="clear" w:pos="900"/>
        </w:tabs>
        <w:ind w:left="1134" w:firstLine="0"/>
        <w:jc w:val="both"/>
        <w:rPr>
          <w:rFonts w:ascii="Calibri" w:hAnsi="Calibri" w:cs="Calibri"/>
          <w:b/>
          <w:bCs/>
          <w:snapToGrid w:val="0"/>
          <w:color w:val="000000"/>
          <w:sz w:val="22"/>
          <w:szCs w:val="22"/>
        </w:rPr>
      </w:pPr>
      <w:r w:rsidRPr="00CF2948">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b/>
                <w:snapToGrid w:val="0"/>
                <w:color w:val="000000"/>
                <w:sz w:val="22"/>
                <w:szCs w:val="22"/>
              </w:rPr>
              <w:t>Ajánlattevő neve</w:t>
            </w:r>
            <w:r w:rsidRPr="00CF2948">
              <w:rPr>
                <w:rFonts w:ascii="Calibri" w:hAnsi="Calibri" w:cs="Calibri"/>
                <w:snapToGrid w:val="0"/>
                <w:color w:val="000000"/>
                <w:sz w:val="22"/>
                <w:szCs w:val="22"/>
              </w:rPr>
              <w:t>:</w:t>
            </w:r>
          </w:p>
        </w:tc>
        <w:tc>
          <w:tcPr>
            <w:tcW w:w="6095" w:type="dxa"/>
            <w:gridSpan w:val="2"/>
            <w:vAlign w:val="center"/>
          </w:tcPr>
          <w:p w:rsidR="00CF2948" w:rsidRPr="00CF2948" w:rsidRDefault="00CF2948" w:rsidP="00CF2948">
            <w:pPr>
              <w:widowControl w:val="0"/>
              <w:jc w:val="center"/>
              <w:rPr>
                <w:rFonts w:ascii="Calibri" w:hAnsi="Calibri" w:cs="Calibri"/>
                <w:b/>
                <w:snapToGrid w:val="0"/>
                <w:color w:val="000000"/>
                <w:sz w:val="22"/>
                <w:szCs w:val="22"/>
              </w:rPr>
            </w:pPr>
            <w:r w:rsidRPr="00CF2948">
              <w:rPr>
                <w:rFonts w:ascii="Calibri" w:hAnsi="Calibri" w:cs="Calibri"/>
                <w:b/>
                <w:snapToGrid w:val="0"/>
                <w:color w:val="000000"/>
                <w:sz w:val="22"/>
                <w:szCs w:val="22"/>
              </w:rPr>
              <w:t>VIANOVA 87 Zrt.</w:t>
            </w:r>
          </w:p>
        </w:tc>
      </w:tr>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snapToGrid w:val="0"/>
                <w:color w:val="000000"/>
                <w:sz w:val="22"/>
                <w:szCs w:val="22"/>
              </w:rPr>
              <w:t>Székhelye:</w:t>
            </w:r>
          </w:p>
        </w:tc>
        <w:tc>
          <w:tcPr>
            <w:tcW w:w="6095" w:type="dxa"/>
            <w:gridSpan w:val="2"/>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1215 Budapest Vasas u. 65-67.</w:t>
            </w:r>
          </w:p>
        </w:tc>
      </w:tr>
      <w:tr w:rsidR="00CF2948" w:rsidRPr="00CF2948" w:rsidTr="00CF2948">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CF2948" w:rsidRPr="00CF2948" w:rsidRDefault="00CF2948" w:rsidP="00CF2948">
            <w:pPr>
              <w:widowControl w:val="0"/>
              <w:autoSpaceDE w:val="0"/>
              <w:autoSpaceDN w:val="0"/>
              <w:rPr>
                <w:rFonts w:ascii="Calibri" w:hAnsi="Calibri" w:cs="Calibri"/>
                <w:snapToGrid w:val="0"/>
                <w:color w:val="000000"/>
                <w:sz w:val="22"/>
                <w:szCs w:val="22"/>
              </w:rPr>
            </w:pPr>
            <w:r w:rsidRPr="00CF2948">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35 421 170</w:t>
            </w:r>
          </w:p>
        </w:tc>
        <w:tc>
          <w:tcPr>
            <w:tcW w:w="1419" w:type="dxa"/>
            <w:tcBorders>
              <w:left w:val="single" w:sz="4" w:space="0" w:color="auto"/>
            </w:tcBorders>
            <w:vAlign w:val="center"/>
          </w:tcPr>
          <w:p w:rsidR="00CF2948" w:rsidRPr="00CF2948" w:rsidRDefault="00CF2948" w:rsidP="00CF2948">
            <w:pPr>
              <w:widowControl w:val="0"/>
              <w:jc w:val="both"/>
              <w:rPr>
                <w:rFonts w:ascii="Calibri" w:hAnsi="Calibri" w:cs="Calibri"/>
                <w:snapToGrid w:val="0"/>
                <w:color w:val="000000"/>
                <w:sz w:val="22"/>
                <w:szCs w:val="22"/>
              </w:rPr>
            </w:pPr>
            <w:r w:rsidRPr="00CF2948">
              <w:rPr>
                <w:rFonts w:ascii="Calibri" w:hAnsi="Calibri" w:cs="Calibri"/>
                <w:snapToGrid w:val="0"/>
                <w:color w:val="000000"/>
                <w:sz w:val="22"/>
                <w:szCs w:val="22"/>
              </w:rPr>
              <w:t>Ft + ÁFA</w:t>
            </w:r>
          </w:p>
        </w:tc>
      </w:tr>
    </w:tbl>
    <w:p w:rsidR="00CF2948" w:rsidRPr="00CF2948" w:rsidRDefault="00CF2948" w:rsidP="00CF2948">
      <w:pPr>
        <w:widowControl w:val="0"/>
        <w:jc w:val="both"/>
        <w:rPr>
          <w:rFonts w:ascii="Calibri" w:hAnsi="Calibri" w:cs="Calibri"/>
          <w:b/>
          <w:bCs/>
          <w:snapToGrid w:val="0"/>
          <w:color w:val="000000"/>
          <w:sz w:val="22"/>
          <w:szCs w:val="22"/>
        </w:rPr>
      </w:pPr>
    </w:p>
    <w:p w:rsidR="00CF2948" w:rsidRPr="00CF2948" w:rsidRDefault="00CF2948" w:rsidP="00CF2948">
      <w:pPr>
        <w:widowControl w:val="0"/>
        <w:numPr>
          <w:ilvl w:val="0"/>
          <w:numId w:val="7"/>
        </w:numPr>
        <w:tabs>
          <w:tab w:val="clear" w:pos="900"/>
        </w:tabs>
        <w:ind w:left="1134" w:firstLine="0"/>
        <w:jc w:val="both"/>
        <w:rPr>
          <w:rFonts w:ascii="Calibri" w:hAnsi="Calibri" w:cs="Calibri"/>
          <w:b/>
          <w:bCs/>
          <w:snapToGrid w:val="0"/>
          <w:color w:val="000000"/>
          <w:sz w:val="22"/>
          <w:szCs w:val="22"/>
        </w:rPr>
      </w:pPr>
      <w:r w:rsidRPr="00CF2948">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b/>
                <w:snapToGrid w:val="0"/>
                <w:color w:val="000000"/>
                <w:sz w:val="22"/>
                <w:szCs w:val="22"/>
              </w:rPr>
              <w:t>Ajánlattevő neve</w:t>
            </w:r>
            <w:r w:rsidRPr="00CF2948">
              <w:rPr>
                <w:rFonts w:ascii="Calibri" w:hAnsi="Calibri" w:cs="Calibri"/>
                <w:snapToGrid w:val="0"/>
                <w:color w:val="000000"/>
                <w:sz w:val="22"/>
                <w:szCs w:val="22"/>
              </w:rPr>
              <w:t>:</w:t>
            </w:r>
          </w:p>
        </w:tc>
        <w:tc>
          <w:tcPr>
            <w:tcW w:w="6095" w:type="dxa"/>
            <w:gridSpan w:val="2"/>
            <w:vAlign w:val="center"/>
          </w:tcPr>
          <w:p w:rsidR="00CF2948" w:rsidRPr="00CF2948" w:rsidRDefault="00CF2948" w:rsidP="00CF2948">
            <w:pPr>
              <w:widowControl w:val="0"/>
              <w:jc w:val="center"/>
              <w:rPr>
                <w:rFonts w:ascii="Calibri" w:hAnsi="Calibri" w:cs="Calibri"/>
                <w:b/>
                <w:snapToGrid w:val="0"/>
                <w:color w:val="000000"/>
                <w:sz w:val="22"/>
                <w:szCs w:val="22"/>
              </w:rPr>
            </w:pPr>
            <w:r w:rsidRPr="00CF2948">
              <w:rPr>
                <w:rFonts w:ascii="Calibri" w:hAnsi="Calibri" w:cs="Calibri"/>
                <w:b/>
                <w:snapToGrid w:val="0"/>
                <w:color w:val="000000"/>
                <w:sz w:val="22"/>
                <w:szCs w:val="22"/>
              </w:rPr>
              <w:t>MÉJE ÉPITŐIPARI KFT</w:t>
            </w:r>
          </w:p>
        </w:tc>
      </w:tr>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snapToGrid w:val="0"/>
                <w:color w:val="000000"/>
                <w:sz w:val="22"/>
                <w:szCs w:val="22"/>
              </w:rPr>
              <w:t>Székhelye:</w:t>
            </w:r>
          </w:p>
        </w:tc>
        <w:tc>
          <w:tcPr>
            <w:tcW w:w="6095" w:type="dxa"/>
            <w:gridSpan w:val="2"/>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7400 Kaposvár Munkácsi M u. 78.</w:t>
            </w:r>
          </w:p>
        </w:tc>
      </w:tr>
      <w:tr w:rsidR="00CF2948" w:rsidRPr="00CF2948" w:rsidTr="00CF2948">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CF2948" w:rsidRPr="00CF2948" w:rsidRDefault="00CF2948" w:rsidP="00CF2948">
            <w:pPr>
              <w:widowControl w:val="0"/>
              <w:autoSpaceDE w:val="0"/>
              <w:autoSpaceDN w:val="0"/>
              <w:rPr>
                <w:rFonts w:ascii="Calibri" w:hAnsi="Calibri" w:cs="Calibri"/>
                <w:snapToGrid w:val="0"/>
                <w:color w:val="000000"/>
                <w:sz w:val="22"/>
                <w:szCs w:val="22"/>
              </w:rPr>
            </w:pPr>
            <w:r w:rsidRPr="00CF2948">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39 124 760</w:t>
            </w:r>
          </w:p>
        </w:tc>
        <w:tc>
          <w:tcPr>
            <w:tcW w:w="1419" w:type="dxa"/>
            <w:tcBorders>
              <w:left w:val="single" w:sz="4" w:space="0" w:color="auto"/>
            </w:tcBorders>
            <w:vAlign w:val="center"/>
          </w:tcPr>
          <w:p w:rsidR="00CF2948" w:rsidRPr="00CF2948" w:rsidRDefault="00CF2948" w:rsidP="00CF2948">
            <w:pPr>
              <w:widowControl w:val="0"/>
              <w:jc w:val="both"/>
              <w:rPr>
                <w:rFonts w:ascii="Calibri" w:hAnsi="Calibri" w:cs="Calibri"/>
                <w:snapToGrid w:val="0"/>
                <w:color w:val="000000"/>
                <w:sz w:val="22"/>
                <w:szCs w:val="22"/>
              </w:rPr>
            </w:pPr>
            <w:r w:rsidRPr="00CF2948">
              <w:rPr>
                <w:rFonts w:ascii="Calibri" w:hAnsi="Calibri" w:cs="Calibri"/>
                <w:snapToGrid w:val="0"/>
                <w:color w:val="000000"/>
                <w:sz w:val="22"/>
                <w:szCs w:val="22"/>
              </w:rPr>
              <w:t>Ft + ÁFA</w:t>
            </w:r>
          </w:p>
        </w:tc>
      </w:tr>
    </w:tbl>
    <w:p w:rsidR="00CF2948" w:rsidRDefault="00CF2948" w:rsidP="00CF2948">
      <w:pPr>
        <w:widowControl w:val="0"/>
        <w:jc w:val="both"/>
        <w:rPr>
          <w:rFonts w:ascii="Calibri" w:hAnsi="Calibri" w:cs="Calibri"/>
          <w:b/>
          <w:bCs/>
          <w:snapToGrid w:val="0"/>
          <w:color w:val="000000"/>
          <w:sz w:val="22"/>
          <w:szCs w:val="22"/>
        </w:rPr>
      </w:pPr>
    </w:p>
    <w:p w:rsidR="00CF2948" w:rsidRDefault="00CF2948">
      <w:pPr>
        <w:rPr>
          <w:rFonts w:ascii="Calibri" w:hAnsi="Calibri" w:cs="Calibri"/>
          <w:b/>
          <w:bCs/>
          <w:snapToGrid w:val="0"/>
          <w:color w:val="000000"/>
          <w:sz w:val="22"/>
          <w:szCs w:val="22"/>
        </w:rPr>
      </w:pPr>
      <w:r>
        <w:rPr>
          <w:rFonts w:ascii="Calibri" w:hAnsi="Calibri" w:cs="Calibri"/>
          <w:b/>
          <w:bCs/>
          <w:snapToGrid w:val="0"/>
          <w:color w:val="000000"/>
          <w:sz w:val="22"/>
          <w:szCs w:val="22"/>
        </w:rPr>
        <w:br w:type="page"/>
      </w:r>
    </w:p>
    <w:p w:rsidR="00CF2948" w:rsidRPr="00CF2948" w:rsidRDefault="00CF2948" w:rsidP="00CF2948">
      <w:pPr>
        <w:widowControl w:val="0"/>
        <w:jc w:val="both"/>
        <w:rPr>
          <w:rFonts w:ascii="Calibri" w:hAnsi="Calibri" w:cs="Calibri"/>
          <w:b/>
          <w:bCs/>
          <w:snapToGrid w:val="0"/>
          <w:color w:val="000000"/>
          <w:sz w:val="22"/>
          <w:szCs w:val="22"/>
        </w:rPr>
      </w:pPr>
    </w:p>
    <w:p w:rsidR="00CF2948" w:rsidRPr="00CF2948" w:rsidRDefault="00CF2948" w:rsidP="00CF2948">
      <w:pPr>
        <w:widowControl w:val="0"/>
        <w:numPr>
          <w:ilvl w:val="0"/>
          <w:numId w:val="7"/>
        </w:numPr>
        <w:tabs>
          <w:tab w:val="clear" w:pos="900"/>
        </w:tabs>
        <w:ind w:left="1134" w:firstLine="0"/>
        <w:jc w:val="both"/>
        <w:rPr>
          <w:rFonts w:ascii="Calibri" w:hAnsi="Calibri" w:cs="Calibri"/>
          <w:b/>
          <w:bCs/>
          <w:snapToGrid w:val="0"/>
          <w:color w:val="000000"/>
          <w:sz w:val="22"/>
          <w:szCs w:val="22"/>
        </w:rPr>
      </w:pPr>
      <w:r w:rsidRPr="00CF2948">
        <w:rPr>
          <w:rFonts w:ascii="Calibri" w:hAnsi="Calibri" w:cs="Calibri"/>
          <w:b/>
          <w:bCs/>
          <w:snapToGrid w:val="0"/>
          <w:color w:val="000000"/>
          <w:sz w:val="22"/>
          <w:szCs w:val="22"/>
        </w:rPr>
        <w:t>számú ajánlat: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6"/>
        <w:gridCol w:w="1419"/>
      </w:tblGrid>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b/>
                <w:snapToGrid w:val="0"/>
                <w:color w:val="000000"/>
                <w:sz w:val="22"/>
                <w:szCs w:val="22"/>
              </w:rPr>
              <w:t>Ajánlattevő neve</w:t>
            </w:r>
            <w:r w:rsidRPr="00CF2948">
              <w:rPr>
                <w:rFonts w:ascii="Calibri" w:hAnsi="Calibri" w:cs="Calibri"/>
                <w:snapToGrid w:val="0"/>
                <w:color w:val="000000"/>
                <w:sz w:val="22"/>
                <w:szCs w:val="22"/>
              </w:rPr>
              <w:t>:</w:t>
            </w:r>
          </w:p>
        </w:tc>
        <w:tc>
          <w:tcPr>
            <w:tcW w:w="6095" w:type="dxa"/>
            <w:gridSpan w:val="2"/>
            <w:vAlign w:val="center"/>
          </w:tcPr>
          <w:p w:rsidR="00CF2948" w:rsidRPr="00CF2948" w:rsidRDefault="00CF2948" w:rsidP="00CF2948">
            <w:pPr>
              <w:widowControl w:val="0"/>
              <w:jc w:val="center"/>
              <w:rPr>
                <w:rFonts w:ascii="Calibri" w:hAnsi="Calibri" w:cs="Calibri"/>
                <w:b/>
                <w:snapToGrid w:val="0"/>
                <w:color w:val="000000"/>
                <w:sz w:val="22"/>
                <w:szCs w:val="22"/>
              </w:rPr>
            </w:pPr>
            <w:r w:rsidRPr="00CF2948">
              <w:rPr>
                <w:rFonts w:ascii="Calibri" w:hAnsi="Calibri" w:cs="Calibri"/>
                <w:b/>
                <w:snapToGrid w:val="0"/>
                <w:color w:val="000000"/>
                <w:sz w:val="22"/>
                <w:szCs w:val="22"/>
              </w:rPr>
              <w:t>Geiger Utép Útépítő Kft.</w:t>
            </w:r>
          </w:p>
        </w:tc>
      </w:tr>
      <w:tr w:rsidR="00CF2948" w:rsidRPr="00CF2948" w:rsidTr="00CF2948">
        <w:trPr>
          <w:trHeight w:val="489"/>
        </w:trPr>
        <w:tc>
          <w:tcPr>
            <w:tcW w:w="1985" w:type="dxa"/>
            <w:vAlign w:val="center"/>
          </w:tcPr>
          <w:p w:rsidR="00CF2948" w:rsidRPr="00CF2948" w:rsidRDefault="00CF2948" w:rsidP="00CF2948">
            <w:pPr>
              <w:widowControl w:val="0"/>
              <w:rPr>
                <w:rFonts w:ascii="Calibri" w:hAnsi="Calibri" w:cs="Calibri"/>
                <w:snapToGrid w:val="0"/>
                <w:color w:val="000000"/>
                <w:sz w:val="22"/>
                <w:szCs w:val="22"/>
              </w:rPr>
            </w:pPr>
            <w:r w:rsidRPr="00CF2948">
              <w:rPr>
                <w:rFonts w:ascii="Calibri" w:hAnsi="Calibri" w:cs="Calibri"/>
                <w:snapToGrid w:val="0"/>
                <w:color w:val="000000"/>
                <w:sz w:val="22"/>
                <w:szCs w:val="22"/>
              </w:rPr>
              <w:t>Székhelye:</w:t>
            </w:r>
          </w:p>
        </w:tc>
        <w:tc>
          <w:tcPr>
            <w:tcW w:w="6095" w:type="dxa"/>
            <w:gridSpan w:val="2"/>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7400 Kaposvár Guba S. u. 71.</w:t>
            </w:r>
          </w:p>
        </w:tc>
      </w:tr>
      <w:tr w:rsidR="00CF2948" w:rsidRPr="00CF2948" w:rsidTr="00CF2948">
        <w:tblPrEx>
          <w:tblCellMar>
            <w:left w:w="70" w:type="dxa"/>
            <w:right w:w="70" w:type="dxa"/>
          </w:tblCellMar>
          <w:tblLook w:val="0000" w:firstRow="0" w:lastRow="0" w:firstColumn="0" w:lastColumn="0" w:noHBand="0" w:noVBand="0"/>
        </w:tblPrEx>
        <w:trPr>
          <w:trHeight w:val="555"/>
        </w:trPr>
        <w:tc>
          <w:tcPr>
            <w:tcW w:w="1985" w:type="dxa"/>
            <w:tcBorders>
              <w:top w:val="nil"/>
            </w:tcBorders>
            <w:vAlign w:val="center"/>
          </w:tcPr>
          <w:p w:rsidR="00CF2948" w:rsidRPr="00CF2948" w:rsidRDefault="00CF2948" w:rsidP="00CF2948">
            <w:pPr>
              <w:widowControl w:val="0"/>
              <w:autoSpaceDE w:val="0"/>
              <w:autoSpaceDN w:val="0"/>
              <w:rPr>
                <w:rFonts w:ascii="Calibri" w:hAnsi="Calibri" w:cs="Calibri"/>
                <w:snapToGrid w:val="0"/>
                <w:color w:val="000000"/>
                <w:sz w:val="22"/>
                <w:szCs w:val="22"/>
              </w:rPr>
            </w:pPr>
            <w:r w:rsidRPr="00CF2948">
              <w:rPr>
                <w:rFonts w:ascii="Calibri" w:hAnsi="Calibri" w:cs="Calibri"/>
                <w:snapToGrid w:val="0"/>
                <w:color w:val="000000"/>
                <w:sz w:val="22"/>
                <w:szCs w:val="22"/>
              </w:rPr>
              <w:t xml:space="preserve">Ajánlati ár (nettó Ft) </w:t>
            </w:r>
          </w:p>
        </w:tc>
        <w:tc>
          <w:tcPr>
            <w:tcW w:w="4676" w:type="dxa"/>
            <w:tcBorders>
              <w:right w:val="single" w:sz="4" w:space="0" w:color="auto"/>
            </w:tcBorders>
            <w:vAlign w:val="center"/>
          </w:tcPr>
          <w:p w:rsidR="00CF2948" w:rsidRPr="00CF2948" w:rsidRDefault="00CF2948" w:rsidP="00CF2948">
            <w:pPr>
              <w:widowControl w:val="0"/>
              <w:jc w:val="center"/>
              <w:rPr>
                <w:rFonts w:ascii="Calibri" w:hAnsi="Calibri" w:cs="Calibri"/>
                <w:snapToGrid w:val="0"/>
                <w:color w:val="000000"/>
                <w:sz w:val="22"/>
                <w:szCs w:val="22"/>
              </w:rPr>
            </w:pPr>
            <w:r w:rsidRPr="00CF2948">
              <w:rPr>
                <w:rFonts w:ascii="Calibri" w:hAnsi="Calibri" w:cs="Calibri"/>
                <w:snapToGrid w:val="0"/>
                <w:color w:val="000000"/>
                <w:sz w:val="22"/>
                <w:szCs w:val="22"/>
              </w:rPr>
              <w:t>35 636 812</w:t>
            </w:r>
          </w:p>
        </w:tc>
        <w:tc>
          <w:tcPr>
            <w:tcW w:w="1419" w:type="dxa"/>
            <w:tcBorders>
              <w:left w:val="single" w:sz="4" w:space="0" w:color="auto"/>
            </w:tcBorders>
            <w:vAlign w:val="center"/>
          </w:tcPr>
          <w:p w:rsidR="00CF2948" w:rsidRPr="00CF2948" w:rsidRDefault="00CF2948" w:rsidP="00CF2948">
            <w:pPr>
              <w:widowControl w:val="0"/>
              <w:jc w:val="both"/>
              <w:rPr>
                <w:rFonts w:ascii="Calibri" w:hAnsi="Calibri" w:cs="Calibri"/>
                <w:snapToGrid w:val="0"/>
                <w:color w:val="000000"/>
                <w:sz w:val="22"/>
                <w:szCs w:val="22"/>
              </w:rPr>
            </w:pPr>
            <w:r w:rsidRPr="00CF2948">
              <w:rPr>
                <w:rFonts w:ascii="Calibri" w:hAnsi="Calibri" w:cs="Calibri"/>
                <w:snapToGrid w:val="0"/>
                <w:color w:val="000000"/>
                <w:sz w:val="22"/>
                <w:szCs w:val="22"/>
              </w:rPr>
              <w:t>Ft + ÁFA</w:t>
            </w:r>
          </w:p>
        </w:tc>
      </w:tr>
    </w:tbl>
    <w:p w:rsidR="006A4F5E" w:rsidRPr="00CF2948" w:rsidRDefault="006A4F5E" w:rsidP="007F4A38">
      <w:pPr>
        <w:autoSpaceDE w:val="0"/>
        <w:autoSpaceDN w:val="0"/>
        <w:adjustRightInd w:val="0"/>
        <w:ind w:left="1134"/>
        <w:jc w:val="both"/>
        <w:rPr>
          <w:rFonts w:asciiTheme="minorHAnsi" w:hAnsiTheme="minorHAnsi" w:cstheme="minorHAnsi"/>
          <w:sz w:val="22"/>
          <w:szCs w:val="22"/>
        </w:rPr>
      </w:pPr>
    </w:p>
    <w:p w:rsidR="006A4F5E" w:rsidRPr="00CF2948" w:rsidRDefault="00CE054F" w:rsidP="007F4A38">
      <w:pPr>
        <w:autoSpaceDE w:val="0"/>
        <w:autoSpaceDN w:val="0"/>
        <w:adjustRightInd w:val="0"/>
        <w:ind w:left="1134"/>
        <w:jc w:val="both"/>
        <w:rPr>
          <w:rFonts w:asciiTheme="minorHAnsi" w:hAnsiTheme="minorHAnsi" w:cstheme="minorHAnsi"/>
          <w:sz w:val="22"/>
          <w:szCs w:val="22"/>
        </w:rPr>
      </w:pPr>
      <w:r w:rsidRPr="00CF2948">
        <w:rPr>
          <w:rFonts w:asciiTheme="minorHAnsi" w:hAnsiTheme="minorHAnsi" w:cstheme="minorHAnsi"/>
          <w:sz w:val="22"/>
          <w:szCs w:val="22"/>
        </w:rPr>
        <w:t>Fenti ajánlattevők az eljárást megindító felhívásnak, valamint a kapcsolódó dokumentációnak megfelelő ajánlatot nyújtottak be, amely ajánlatban az egyes ajánlattevők igazolták, hogy nem áll</w:t>
      </w:r>
      <w:r w:rsidR="00377E69" w:rsidRPr="00CF2948">
        <w:rPr>
          <w:rFonts w:asciiTheme="minorHAnsi" w:hAnsiTheme="minorHAnsi" w:cstheme="minorHAnsi"/>
          <w:sz w:val="22"/>
          <w:szCs w:val="22"/>
        </w:rPr>
        <w:t>nak fenn velük szemben</w:t>
      </w:r>
      <w:r w:rsidRPr="00CF2948">
        <w:rPr>
          <w:rFonts w:asciiTheme="minorHAnsi" w:hAnsiTheme="minorHAnsi" w:cstheme="minorHAnsi"/>
          <w:sz w:val="22"/>
          <w:szCs w:val="22"/>
        </w:rPr>
        <w:t xml:space="preserve"> az előírt kizáró okok, illetve, hogy megfelelnek a felhívásban rögzített alkalmassági minimumkövetelményeknek.</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B44E05" w:rsidRPr="00CF2948" w:rsidRDefault="009E462A" w:rsidP="007F4A38">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b)</w:t>
      </w:r>
      <w:r w:rsidR="007F4A38" w:rsidRPr="00CF2948">
        <w:rPr>
          <w:rFonts w:asciiTheme="minorHAnsi" w:hAnsiTheme="minorHAnsi" w:cstheme="minorHAnsi"/>
          <w:i/>
          <w:iCs/>
          <w:sz w:val="22"/>
          <w:szCs w:val="22"/>
        </w:rPr>
        <w:tab/>
      </w:r>
      <w:r w:rsidRPr="00CF2948">
        <w:rPr>
          <w:rFonts w:asciiTheme="minorHAnsi" w:hAnsiTheme="minorHAnsi" w:cstheme="minorHAnsi"/>
          <w:sz w:val="22"/>
          <w:szCs w:val="22"/>
        </w:rPr>
        <w:t>Az a)</w:t>
      </w:r>
      <w:r w:rsidRPr="00CF2948">
        <w:rPr>
          <w:rFonts w:asciiTheme="minorHAnsi" w:hAnsiTheme="minorHAnsi" w:cstheme="minorHAnsi"/>
          <w:i/>
          <w:iCs/>
          <w:sz w:val="22"/>
          <w:szCs w:val="22"/>
        </w:rPr>
        <w:t xml:space="preserve"> </w:t>
      </w:r>
      <w:r w:rsidRPr="00CF2948">
        <w:rPr>
          <w:rFonts w:asciiTheme="minorHAnsi" w:hAnsiTheme="minorHAnsi" w:cstheme="minorHAnsi"/>
          <w:sz w:val="22"/>
          <w:szCs w:val="22"/>
        </w:rPr>
        <w:t>pont szerinti ajánlatok értékelése a következő táblázatba foglalva</w:t>
      </w:r>
      <w:r w:rsidR="00F623F0" w:rsidRPr="00CF2948">
        <w:rPr>
          <w:rFonts w:asciiTheme="minorHAnsi" w:hAnsiTheme="minorHAnsi" w:cstheme="minorHAnsi"/>
          <w:sz w:val="22"/>
          <w:szCs w:val="22"/>
        </w:rPr>
        <w:t xml:space="preserve"> (részajánlat</w:t>
      </w:r>
      <w:r w:rsidR="0037029E" w:rsidRPr="00CF2948">
        <w:rPr>
          <w:rFonts w:asciiTheme="minorHAnsi" w:hAnsiTheme="minorHAnsi" w:cstheme="minorHAnsi"/>
          <w:sz w:val="22"/>
          <w:szCs w:val="22"/>
        </w:rPr>
        <w:t>-</w:t>
      </w:r>
      <w:r w:rsidR="00F623F0" w:rsidRPr="00CF2948">
        <w:rPr>
          <w:rFonts w:asciiTheme="minorHAnsi" w:hAnsiTheme="minorHAnsi" w:cstheme="minorHAnsi"/>
          <w:sz w:val="22"/>
          <w:szCs w:val="22"/>
        </w:rPr>
        <w:t>tételi lehetőség esetén részenként)</w:t>
      </w:r>
      <w:r w:rsidRPr="00CF2948">
        <w:rPr>
          <w:rFonts w:asciiTheme="minorHAnsi" w:hAnsiTheme="minorHAnsi" w:cstheme="minorHAnsi"/>
          <w:sz w:val="22"/>
          <w:szCs w:val="22"/>
        </w:rPr>
        <w:t>:</w:t>
      </w:r>
      <w:r w:rsidR="00164EF5" w:rsidRPr="00CF2948">
        <w:rPr>
          <w:rFonts w:asciiTheme="minorHAnsi" w:hAnsiTheme="minorHAnsi" w:cstheme="minorHAnsi"/>
          <w:sz w:val="22"/>
          <w:szCs w:val="22"/>
        </w:rPr>
        <w:t xml:space="preserve"> </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7F4A38" w:rsidRPr="00CF2948" w:rsidRDefault="00164EF5" w:rsidP="007F4A38">
      <w:pPr>
        <w:autoSpaceDE w:val="0"/>
        <w:autoSpaceDN w:val="0"/>
        <w:adjustRightInd w:val="0"/>
        <w:ind w:left="1134"/>
        <w:jc w:val="both"/>
        <w:rPr>
          <w:rFonts w:asciiTheme="minorHAnsi" w:hAnsiTheme="minorHAnsi" w:cstheme="minorHAnsi"/>
          <w:sz w:val="22"/>
          <w:szCs w:val="22"/>
        </w:rPr>
      </w:pPr>
      <w:r w:rsidRPr="00CF2948">
        <w:rPr>
          <w:rFonts w:asciiTheme="minorHAnsi" w:hAnsiTheme="minorHAnsi" w:cstheme="minorHAnsi"/>
          <w:sz w:val="22"/>
          <w:szCs w:val="22"/>
        </w:rPr>
        <w:t>-</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F623F0" w:rsidRPr="00CF2948" w:rsidRDefault="009E462A" w:rsidP="007F4A38">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c)</w:t>
      </w:r>
      <w:r w:rsidR="007F4A38" w:rsidRPr="00CF2948">
        <w:rPr>
          <w:rFonts w:asciiTheme="minorHAnsi" w:hAnsiTheme="minorHAnsi" w:cstheme="minorHAnsi"/>
          <w:sz w:val="22"/>
          <w:szCs w:val="22"/>
        </w:rPr>
        <w:tab/>
      </w:r>
      <w:r w:rsidR="00F623F0" w:rsidRPr="00CF2948">
        <w:rPr>
          <w:rFonts w:asciiTheme="minorHAnsi" w:hAnsiTheme="minorHAnsi" w:cstheme="minorHAnsi"/>
          <w:sz w:val="22"/>
          <w:szCs w:val="22"/>
        </w:rPr>
        <w:t xml:space="preserve">Az összességében legelőnyösebb ajánlat kiválasztása esetén </w:t>
      </w:r>
      <w:r w:rsidR="0037029E" w:rsidRPr="00CF2948">
        <w:rPr>
          <w:rFonts w:asciiTheme="minorHAnsi" w:hAnsiTheme="minorHAnsi" w:cstheme="minorHAnsi"/>
          <w:sz w:val="22"/>
          <w:szCs w:val="22"/>
        </w:rPr>
        <w:t>az értékelés során adható pontszám alsó és felső határának megadása:</w:t>
      </w:r>
      <w:r w:rsidR="00D856DA" w:rsidRPr="00CF2948">
        <w:rPr>
          <w:rFonts w:asciiTheme="minorHAnsi" w:hAnsiTheme="minorHAnsi" w:cstheme="minorHAnsi"/>
          <w:sz w:val="22"/>
          <w:szCs w:val="22"/>
        </w:rPr>
        <w:t xml:space="preserve"> </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7F4A38" w:rsidRPr="00CF2948" w:rsidRDefault="00CF2948"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9E462A" w:rsidRPr="00CF2948" w:rsidRDefault="00F623F0" w:rsidP="007F4A38">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d)</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D91EA6" w:rsidRPr="00CF2948">
        <w:rPr>
          <w:rFonts w:asciiTheme="minorHAnsi" w:hAnsiTheme="minorHAnsi" w:cstheme="minorHAnsi"/>
          <w:sz w:val="22"/>
          <w:szCs w:val="22"/>
        </w:rPr>
        <w:t xml:space="preserve"> </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7F4A38" w:rsidRPr="00CF2948" w:rsidRDefault="00CF2948"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9E462A" w:rsidRPr="00CF2948" w:rsidRDefault="0037029E" w:rsidP="007F4A38">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10</w:t>
      </w:r>
      <w:r w:rsidR="007221F0" w:rsidRPr="00CF2948">
        <w:rPr>
          <w:rFonts w:asciiTheme="minorHAnsi" w:hAnsiTheme="minorHAnsi" w:cstheme="minorHAnsi"/>
          <w:sz w:val="22"/>
          <w:szCs w:val="22"/>
        </w:rPr>
        <w:t>.</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Az érvénytelen ajánlatot tevők neve, címe és az érvénytelenség indoka:</w:t>
      </w:r>
      <w:r w:rsidR="00D91EA6" w:rsidRPr="00CF2948">
        <w:rPr>
          <w:rFonts w:asciiTheme="minorHAnsi" w:hAnsiTheme="minorHAnsi" w:cstheme="minorHAnsi"/>
          <w:sz w:val="22"/>
          <w:szCs w:val="22"/>
        </w:rPr>
        <w:t xml:space="preserve">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7221F0"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9E462A" w:rsidRPr="00CF2948" w:rsidRDefault="0037029E" w:rsidP="007F4A38">
      <w:pPr>
        <w:tabs>
          <w:tab w:val="left" w:pos="567"/>
        </w:tabs>
        <w:autoSpaceDE w:val="0"/>
        <w:autoSpaceDN w:val="0"/>
        <w:adjustRightInd w:val="0"/>
        <w:ind w:left="1134" w:hanging="1134"/>
        <w:jc w:val="both"/>
        <w:rPr>
          <w:rFonts w:asciiTheme="minorHAnsi" w:hAnsiTheme="minorHAnsi" w:cstheme="minorHAnsi"/>
          <w:sz w:val="22"/>
          <w:szCs w:val="22"/>
        </w:rPr>
      </w:pPr>
      <w:r w:rsidRPr="00CF2948">
        <w:rPr>
          <w:rFonts w:asciiTheme="minorHAnsi" w:hAnsiTheme="minorHAnsi" w:cstheme="minorHAnsi"/>
          <w:sz w:val="22"/>
          <w:szCs w:val="22"/>
        </w:rPr>
        <w:t>11</w:t>
      </w:r>
      <w:r w:rsidR="007221F0" w:rsidRPr="00CF2948">
        <w:rPr>
          <w:rFonts w:asciiTheme="minorHAnsi" w:hAnsiTheme="minorHAnsi" w:cstheme="minorHAnsi"/>
          <w:sz w:val="22"/>
          <w:szCs w:val="22"/>
        </w:rPr>
        <w:t>.</w:t>
      </w:r>
      <w:r w:rsidR="00BC5120" w:rsidRPr="00CF2948">
        <w:rPr>
          <w:rFonts w:asciiTheme="minorHAnsi" w:hAnsiTheme="minorHAnsi" w:cstheme="minorHAnsi"/>
          <w:sz w:val="22"/>
          <w:szCs w:val="22"/>
        </w:rPr>
        <w:tab/>
      </w:r>
      <w:r w:rsidR="007221F0" w:rsidRPr="00CF2948">
        <w:rPr>
          <w:rFonts w:asciiTheme="minorHAnsi" w:hAnsiTheme="minorHAnsi" w:cstheme="minorHAnsi"/>
          <w:sz w:val="22"/>
          <w:szCs w:val="22"/>
        </w:rPr>
        <w:t>a)</w:t>
      </w:r>
      <w:r w:rsidR="007F4A38" w:rsidRPr="00CF2948">
        <w:rPr>
          <w:rFonts w:asciiTheme="minorHAnsi" w:hAnsiTheme="minorHAnsi" w:cstheme="minorHAnsi"/>
          <w:sz w:val="22"/>
          <w:szCs w:val="22"/>
        </w:rPr>
        <w:tab/>
      </w:r>
      <w:r w:rsidR="009E462A" w:rsidRPr="00CF2948">
        <w:rPr>
          <w:rFonts w:asciiTheme="minorHAnsi" w:hAnsiTheme="minorHAnsi" w:cstheme="minorHAnsi"/>
          <w:sz w:val="22"/>
          <w:szCs w:val="22"/>
        </w:rPr>
        <w:t>Eredményes eljárás esetén a nyertes ajánlattevő neve, címe, az ellenszolgáltatás összege és ajánlata kiválasztásának indokai:</w:t>
      </w:r>
      <w:r w:rsidR="00D856DA" w:rsidRPr="00CF2948">
        <w:rPr>
          <w:rFonts w:asciiTheme="minorHAnsi" w:hAnsiTheme="minorHAnsi" w:cstheme="minorHAnsi"/>
          <w:sz w:val="22"/>
          <w:szCs w:val="22"/>
        </w:rPr>
        <w:t xml:space="preserve"> </w:t>
      </w:r>
    </w:p>
    <w:p w:rsidR="007F4A38" w:rsidRPr="00CF2948" w:rsidRDefault="007F4A38" w:rsidP="007F4A38">
      <w:pPr>
        <w:ind w:left="1134"/>
        <w:jc w:val="both"/>
        <w:rPr>
          <w:rFonts w:asciiTheme="minorHAnsi" w:hAnsiTheme="minorHAnsi" w:cstheme="minorHAnsi"/>
          <w:noProof/>
          <w:snapToGrid w:val="0"/>
          <w:color w:val="000000"/>
          <w:sz w:val="22"/>
          <w:szCs w:val="22"/>
        </w:rPr>
      </w:pPr>
    </w:p>
    <w:p w:rsidR="007F4A38" w:rsidRPr="00CF2948" w:rsidRDefault="00CF2948" w:rsidP="007F4A38">
      <w:pPr>
        <w:ind w:left="1134"/>
        <w:jc w:val="both"/>
        <w:rPr>
          <w:rFonts w:asciiTheme="minorHAnsi" w:hAnsiTheme="minorHAnsi" w:cstheme="minorHAnsi"/>
          <w:noProof/>
          <w:snapToGrid w:val="0"/>
          <w:color w:val="000000"/>
          <w:sz w:val="22"/>
          <w:szCs w:val="22"/>
        </w:rPr>
      </w:pPr>
      <w:r w:rsidRPr="00CF2948">
        <w:rPr>
          <w:rFonts w:asciiTheme="minorHAnsi" w:hAnsiTheme="minorHAnsi" w:cstheme="minorHAnsi"/>
          <w:noProof/>
          <w:snapToGrid w:val="0"/>
          <w:color w:val="000000"/>
          <w:sz w:val="22"/>
          <w:szCs w:val="22"/>
        </w:rPr>
        <w:t xml:space="preserve">A legalacsonyabb összegű ellenszolgáltatást tartalmazó érvényes ajánlatot tárgyi közbeszerzési eljárás vonatkozásában a </w:t>
      </w:r>
      <w:r w:rsidRPr="00CF2948">
        <w:rPr>
          <w:rFonts w:asciiTheme="minorHAnsi" w:hAnsiTheme="minorHAnsi" w:cstheme="minorHAnsi"/>
          <w:b/>
          <w:noProof/>
          <w:snapToGrid w:val="0"/>
          <w:color w:val="000000"/>
          <w:sz w:val="22"/>
          <w:szCs w:val="22"/>
        </w:rPr>
        <w:t xml:space="preserve">VIANOVA 87 Zrt. </w:t>
      </w:r>
      <w:r w:rsidRPr="00CF2948">
        <w:rPr>
          <w:rFonts w:asciiTheme="minorHAnsi" w:hAnsiTheme="minorHAnsi" w:cstheme="minorHAnsi"/>
          <w:noProof/>
          <w:snapToGrid w:val="0"/>
          <w:color w:val="000000"/>
          <w:sz w:val="22"/>
          <w:szCs w:val="22"/>
        </w:rPr>
        <w:t xml:space="preserve">(székhely: 1215 Budapest Vasas u. 65-67.) ajánlattevő nyújtotta be, ajánlati ára: </w:t>
      </w:r>
      <w:r w:rsidRPr="00CF2948">
        <w:rPr>
          <w:rFonts w:asciiTheme="minorHAnsi" w:hAnsiTheme="minorHAnsi" w:cstheme="minorHAnsi"/>
          <w:b/>
          <w:noProof/>
          <w:snapToGrid w:val="0"/>
          <w:color w:val="000000"/>
          <w:sz w:val="22"/>
          <w:szCs w:val="22"/>
        </w:rPr>
        <w:t>35 421 170,-Ft + ÁFA</w:t>
      </w:r>
      <w:r w:rsidRPr="00CF2948">
        <w:rPr>
          <w:rFonts w:asciiTheme="minorHAnsi" w:hAnsiTheme="minorHAnsi" w:cstheme="minorHAnsi"/>
          <w:noProof/>
          <w:snapToGrid w:val="0"/>
          <w:color w:val="000000"/>
          <w:sz w:val="22"/>
          <w:szCs w:val="22"/>
        </w:rPr>
        <w:t>.</w:t>
      </w:r>
    </w:p>
    <w:p w:rsidR="007F4A38" w:rsidRPr="00CF2948" w:rsidRDefault="007F4A38" w:rsidP="007F4A38">
      <w:pPr>
        <w:ind w:left="1134"/>
        <w:jc w:val="both"/>
        <w:rPr>
          <w:rFonts w:asciiTheme="minorHAnsi" w:hAnsiTheme="minorHAnsi" w:cstheme="minorHAnsi"/>
          <w:noProof/>
          <w:snapToGrid w:val="0"/>
          <w:color w:val="000000"/>
          <w:sz w:val="22"/>
          <w:szCs w:val="22"/>
        </w:rPr>
      </w:pPr>
    </w:p>
    <w:p w:rsidR="00B44E05" w:rsidRPr="00CF2948" w:rsidRDefault="007F4A38" w:rsidP="007F4A38">
      <w:pPr>
        <w:ind w:left="1134" w:hanging="567"/>
        <w:jc w:val="both"/>
        <w:rPr>
          <w:rFonts w:asciiTheme="minorHAnsi" w:hAnsiTheme="minorHAnsi" w:cstheme="minorHAnsi"/>
          <w:noProof/>
          <w:snapToGrid w:val="0"/>
          <w:color w:val="000000"/>
          <w:sz w:val="22"/>
          <w:szCs w:val="22"/>
        </w:rPr>
      </w:pPr>
      <w:r w:rsidRPr="00CF2948">
        <w:rPr>
          <w:rFonts w:asciiTheme="minorHAnsi" w:hAnsiTheme="minorHAnsi" w:cstheme="minorHAnsi"/>
          <w:noProof/>
          <w:snapToGrid w:val="0"/>
          <w:color w:val="000000"/>
          <w:sz w:val="22"/>
          <w:szCs w:val="22"/>
        </w:rPr>
        <w:t>b)</w:t>
      </w:r>
      <w:r w:rsidRPr="00CF2948">
        <w:rPr>
          <w:rFonts w:asciiTheme="minorHAnsi" w:hAnsiTheme="minorHAnsi" w:cstheme="minorHAnsi"/>
          <w:noProof/>
          <w:snapToGrid w:val="0"/>
          <w:color w:val="000000"/>
          <w:sz w:val="22"/>
          <w:szCs w:val="22"/>
        </w:rPr>
        <w:tab/>
        <w:t>A nyertes ajánlatot követő legkedvezőbb ajánlatot tevő neve, címe, az ellenszolgáltatás összege és ajánlata kiválasztásának indokai:</w:t>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CF2948" w:rsidRDefault="00CF2948" w:rsidP="007F4A38">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CF2948" w:rsidRDefault="00CF2948">
      <w:pPr>
        <w:rPr>
          <w:rFonts w:asciiTheme="minorHAnsi" w:hAnsiTheme="minorHAnsi" w:cstheme="minorHAnsi"/>
          <w:sz w:val="22"/>
          <w:szCs w:val="22"/>
        </w:rPr>
      </w:pPr>
      <w:r>
        <w:rPr>
          <w:rFonts w:asciiTheme="minorHAnsi" w:hAnsiTheme="minorHAnsi" w:cstheme="minorHAnsi"/>
          <w:sz w:val="22"/>
          <w:szCs w:val="22"/>
        </w:rPr>
        <w:br w:type="page"/>
      </w: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7F4A38" w:rsidRPr="00CF2948" w:rsidRDefault="007F4A38" w:rsidP="007F4A38">
      <w:pPr>
        <w:autoSpaceDE w:val="0"/>
        <w:autoSpaceDN w:val="0"/>
        <w:adjustRightInd w:val="0"/>
        <w:ind w:left="1134"/>
        <w:jc w:val="both"/>
        <w:rPr>
          <w:rFonts w:asciiTheme="minorHAnsi" w:hAnsiTheme="minorHAnsi" w:cstheme="minorHAnsi"/>
          <w:sz w:val="22"/>
          <w:szCs w:val="22"/>
        </w:rPr>
      </w:pPr>
    </w:p>
    <w:p w:rsidR="009E462A"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12</w:t>
      </w:r>
      <w:r w:rsidR="009E462A" w:rsidRPr="00CF2948">
        <w:rPr>
          <w:rFonts w:asciiTheme="minorHAnsi" w:hAnsiTheme="minorHAnsi" w:cstheme="minorHAnsi"/>
          <w:sz w:val="22"/>
          <w:szCs w:val="22"/>
        </w:rPr>
        <w:t>.</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közbeszerzésnek az(ok) a része(i), amely(ek)nek teljesítéséhez az ajánlattevő alvállalkozót kíván igénybe venni</w:t>
      </w:r>
      <w:r w:rsidR="009E462A" w:rsidRPr="00CF2948">
        <w:rPr>
          <w:rFonts w:asciiTheme="minorHAnsi" w:hAnsiTheme="minorHAnsi" w:cstheme="minorHAnsi"/>
          <w:sz w:val="22"/>
          <w:szCs w:val="22"/>
        </w:rPr>
        <w:t>:</w:t>
      </w:r>
      <w:r w:rsidRPr="00CF2948">
        <w:rPr>
          <w:rFonts w:asciiTheme="minorHAnsi" w:hAnsiTheme="minorHAnsi" w:cstheme="minorHAnsi"/>
          <w:sz w:val="22"/>
          <w:szCs w:val="22"/>
        </w:rPr>
        <w:t xml:space="preserve"> </w:t>
      </w:r>
    </w:p>
    <w:p w:rsidR="007221F0" w:rsidRPr="00CF2948" w:rsidRDefault="007221F0" w:rsidP="007221F0">
      <w:pPr>
        <w:tabs>
          <w:tab w:val="left" w:pos="360"/>
        </w:tabs>
        <w:autoSpaceDE w:val="0"/>
        <w:autoSpaceDN w:val="0"/>
        <w:adjustRightInd w:val="0"/>
        <w:ind w:left="567"/>
        <w:jc w:val="both"/>
        <w:rPr>
          <w:rFonts w:asciiTheme="minorHAnsi" w:hAnsiTheme="minorHAnsi" w:cstheme="minorHAnsi"/>
          <w:sz w:val="22"/>
          <w:szCs w:val="22"/>
        </w:rPr>
      </w:pPr>
    </w:p>
    <w:p w:rsidR="00F93726" w:rsidRPr="00CF2948" w:rsidRDefault="007221F0"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a)</w:t>
      </w:r>
      <w:r w:rsidRPr="00CF2948">
        <w:rPr>
          <w:rFonts w:asciiTheme="minorHAnsi" w:hAnsiTheme="minorHAnsi" w:cstheme="minorHAnsi"/>
          <w:sz w:val="22"/>
          <w:szCs w:val="22"/>
        </w:rPr>
        <w:tab/>
      </w:r>
      <w:r w:rsidR="00BC5120" w:rsidRPr="00CF2948">
        <w:rPr>
          <w:rFonts w:asciiTheme="minorHAnsi" w:hAnsiTheme="minorHAnsi" w:cstheme="minorHAnsi"/>
          <w:sz w:val="22"/>
          <w:szCs w:val="22"/>
        </w:rPr>
        <w:t>A nyertes ajánlattevő ajánlatában:</w:t>
      </w:r>
      <w:r w:rsidR="00C243D8" w:rsidRPr="00CF2948">
        <w:rPr>
          <w:rFonts w:asciiTheme="minorHAnsi" w:hAnsiTheme="minorHAnsi" w:cstheme="minorHAnsi"/>
          <w:sz w:val="22"/>
          <w:szCs w:val="22"/>
        </w:rPr>
        <w:t xml:space="preserve"> </w:t>
      </w:r>
    </w:p>
    <w:p w:rsidR="00BC5120" w:rsidRPr="00CF2948" w:rsidRDefault="00BC5120" w:rsidP="007221F0">
      <w:pPr>
        <w:autoSpaceDE w:val="0"/>
        <w:autoSpaceDN w:val="0"/>
        <w:adjustRightInd w:val="0"/>
        <w:ind w:left="1134"/>
        <w:jc w:val="both"/>
        <w:rPr>
          <w:rFonts w:asciiTheme="minorHAnsi" w:hAnsiTheme="minorHAnsi" w:cstheme="minorHAnsi"/>
          <w:sz w:val="22"/>
          <w:szCs w:val="22"/>
        </w:rPr>
      </w:pPr>
    </w:p>
    <w:p w:rsidR="007221F0"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Fuvarozás, szállítás</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Munkaterület őrzése</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Aszfaltmarás</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Mélyépítési részfeladatok</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Aszfalt bedolgozási szakmunkák (anyag nélkül)</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Burkolatjel festés</w:t>
      </w:r>
    </w:p>
    <w:p w:rsid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Szakfelügyeletek</w:t>
      </w:r>
    </w:p>
    <w:p w:rsidR="00CF2948"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Minősítések</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BC5120" w:rsidRPr="00CF2948" w:rsidRDefault="007221F0"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b)</w:t>
      </w:r>
      <w:r w:rsidRPr="00CF2948">
        <w:rPr>
          <w:rFonts w:asciiTheme="minorHAnsi" w:hAnsiTheme="minorHAnsi" w:cstheme="minorHAnsi"/>
          <w:sz w:val="22"/>
          <w:szCs w:val="22"/>
        </w:rPr>
        <w:tab/>
      </w:r>
      <w:r w:rsidR="00BC5120" w:rsidRPr="00CF2948">
        <w:rPr>
          <w:rFonts w:asciiTheme="minorHAnsi" w:hAnsiTheme="minorHAnsi" w:cstheme="minorHAnsi"/>
          <w:sz w:val="22"/>
          <w:szCs w:val="22"/>
        </w:rPr>
        <w:t>A nyertes ajánlatot követő legkedvezőbb ajánlatot tevő ajánlatában:</w:t>
      </w:r>
      <w:r w:rsidR="00F93726" w:rsidRPr="00CF2948">
        <w:rPr>
          <w:rFonts w:asciiTheme="minorHAnsi" w:hAnsiTheme="minorHAnsi" w:cstheme="minorHAnsi"/>
          <w:sz w:val="22"/>
          <w:szCs w:val="22"/>
        </w:rPr>
        <w:t xml:space="preserve"> </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3D1311"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13</w:t>
      </w:r>
      <w:r w:rsidR="009E462A" w:rsidRPr="00CF2948">
        <w:rPr>
          <w:rFonts w:asciiTheme="minorHAnsi" w:hAnsiTheme="minorHAnsi" w:cstheme="minorHAnsi"/>
          <w:sz w:val="22"/>
          <w:szCs w:val="22"/>
        </w:rPr>
        <w:t>.</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12. pont szerinti rész(ek) tekintetében a közbeszerzés értékének tíz százalékát meghaladó mértékben igénybe venni kívánt alvállalkozó(k), v</w:t>
      </w:r>
      <w:r w:rsidR="00E84C85" w:rsidRPr="00CF2948">
        <w:rPr>
          <w:rFonts w:asciiTheme="minorHAnsi" w:hAnsiTheme="minorHAnsi" w:cstheme="minorHAnsi"/>
          <w:sz w:val="22"/>
          <w:szCs w:val="22"/>
        </w:rPr>
        <w:t>alamint a közbeszerzésnek az a</w:t>
      </w:r>
      <w:r w:rsidRPr="00CF2948">
        <w:rPr>
          <w:rFonts w:asciiTheme="minorHAnsi" w:hAnsiTheme="minorHAnsi" w:cstheme="minorHAnsi"/>
          <w:sz w:val="22"/>
          <w:szCs w:val="22"/>
        </w:rPr>
        <w:t xml:space="preserve"> százalékos aránya, amelynek teljesítésében a megjelölt alvállalkozók közre fognak működni:</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F93726" w:rsidRPr="00CF2948" w:rsidRDefault="007221F0"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a)</w:t>
      </w:r>
      <w:r w:rsidRPr="00CF2948">
        <w:rPr>
          <w:rFonts w:asciiTheme="minorHAnsi" w:hAnsiTheme="minorHAnsi" w:cstheme="minorHAnsi"/>
          <w:sz w:val="22"/>
          <w:szCs w:val="22"/>
        </w:rPr>
        <w:tab/>
      </w:r>
      <w:r w:rsidR="003D1311" w:rsidRPr="00CF2948">
        <w:rPr>
          <w:rFonts w:asciiTheme="minorHAnsi" w:hAnsiTheme="minorHAnsi" w:cstheme="minorHAnsi"/>
          <w:sz w:val="22"/>
          <w:szCs w:val="22"/>
        </w:rPr>
        <w:t>A nyertes ajánlattevő ajánlatában:</w:t>
      </w:r>
      <w:r w:rsidR="00F93726" w:rsidRPr="00CF2948">
        <w:rPr>
          <w:rFonts w:asciiTheme="minorHAnsi" w:hAnsiTheme="minorHAnsi" w:cstheme="minorHAnsi"/>
          <w:sz w:val="22"/>
          <w:szCs w:val="22"/>
        </w:rPr>
        <w:t xml:space="preserve"> </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3D1311" w:rsidRPr="00CF2948" w:rsidRDefault="003D1311"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b)</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nyertes ajánlatot követő legkedvezőbb ajánlatot tevő ajánlatában:</w:t>
      </w:r>
      <w:r w:rsidR="00D01462" w:rsidRPr="00CF2948">
        <w:rPr>
          <w:rFonts w:asciiTheme="minorHAnsi" w:hAnsiTheme="minorHAnsi" w:cstheme="minorHAnsi"/>
          <w:sz w:val="22"/>
          <w:szCs w:val="22"/>
        </w:rPr>
        <w:t xml:space="preserve"> </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9E462A" w:rsidRPr="00CF2948" w:rsidRDefault="002B0E9D"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w:t>
      </w:r>
      <w:r w:rsidR="00C243D8" w:rsidRPr="00CF2948">
        <w:rPr>
          <w:rFonts w:asciiTheme="minorHAnsi" w:hAnsiTheme="minorHAnsi" w:cstheme="minorHAnsi"/>
          <w:sz w:val="22"/>
          <w:szCs w:val="22"/>
        </w:rPr>
        <w:t>4</w:t>
      </w:r>
      <w:r w:rsidR="009E462A" w:rsidRPr="00CF2948">
        <w:rPr>
          <w:rFonts w:asciiTheme="minorHAnsi" w:hAnsiTheme="minorHAnsi" w:cstheme="minorHAnsi"/>
          <w:sz w:val="22"/>
          <w:szCs w:val="22"/>
        </w:rPr>
        <w:t>.</w:t>
      </w:r>
      <w:r w:rsidR="007221F0" w:rsidRPr="00CF2948">
        <w:rPr>
          <w:rFonts w:asciiTheme="minorHAnsi" w:hAnsiTheme="minorHAnsi" w:cstheme="minorHAnsi"/>
          <w:sz w:val="22"/>
          <w:szCs w:val="22"/>
        </w:rPr>
        <w:tab/>
      </w:r>
      <w:r w:rsidR="00C243D8" w:rsidRPr="00CF2948">
        <w:rPr>
          <w:rFonts w:asciiTheme="minorHAnsi" w:hAnsiTheme="minorHAnsi" w:cstheme="minorHAnsi"/>
          <w:sz w:val="22"/>
          <w:szCs w:val="22"/>
        </w:rPr>
        <w:t>Az alkalmasság igazolásában részt vevő szervezetek, és azon alkalmassági követelmények megjelölése, amelyek igazolása érdekében az ajánlattevő ezen szervezet erőforrásaira (is) támaszkodik:</w:t>
      </w:r>
    </w:p>
    <w:p w:rsidR="007221F0" w:rsidRPr="00CF2948" w:rsidRDefault="007221F0" w:rsidP="007221F0">
      <w:pPr>
        <w:autoSpaceDE w:val="0"/>
        <w:autoSpaceDN w:val="0"/>
        <w:adjustRightInd w:val="0"/>
        <w:ind w:left="1134" w:hanging="567"/>
        <w:jc w:val="both"/>
        <w:rPr>
          <w:rFonts w:asciiTheme="minorHAnsi" w:hAnsiTheme="minorHAnsi" w:cstheme="minorHAnsi"/>
          <w:sz w:val="22"/>
          <w:szCs w:val="22"/>
        </w:rPr>
      </w:pPr>
    </w:p>
    <w:p w:rsidR="00E0575C" w:rsidRPr="00CF2948" w:rsidRDefault="00C243D8"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 xml:space="preserve">a) </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ny</w:t>
      </w:r>
      <w:r w:rsidR="00E0575C" w:rsidRPr="00CF2948">
        <w:rPr>
          <w:rFonts w:asciiTheme="minorHAnsi" w:hAnsiTheme="minorHAnsi" w:cstheme="minorHAnsi"/>
          <w:sz w:val="22"/>
          <w:szCs w:val="22"/>
        </w:rPr>
        <w:t xml:space="preserve">ertes ajánlattevő ajánlatában: </w:t>
      </w:r>
    </w:p>
    <w:p w:rsidR="00C243D8" w:rsidRPr="00CF2948" w:rsidRDefault="00C243D8"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C243D8" w:rsidRPr="00CF2948" w:rsidRDefault="00C243D8"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 xml:space="preserve">b) </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nyertes ajánlatot követő legkedvező</w:t>
      </w:r>
      <w:r w:rsidR="007221F0" w:rsidRPr="00CF2948">
        <w:rPr>
          <w:rFonts w:asciiTheme="minorHAnsi" w:hAnsiTheme="minorHAnsi" w:cstheme="minorHAnsi"/>
          <w:sz w:val="22"/>
          <w:szCs w:val="22"/>
        </w:rPr>
        <w:t xml:space="preserve">bb ajánlatot tevő ajánlatában: </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D92088" w:rsidRPr="00CF2948" w:rsidRDefault="00C243D8" w:rsidP="007221F0">
      <w:pPr>
        <w:tabs>
          <w:tab w:val="left" w:pos="1134"/>
        </w:tabs>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15</w:t>
      </w:r>
      <w:r w:rsidR="007221F0" w:rsidRPr="00CF2948">
        <w:rPr>
          <w:rFonts w:asciiTheme="minorHAnsi" w:hAnsiTheme="minorHAnsi" w:cstheme="minorHAnsi"/>
          <w:sz w:val="22"/>
          <w:szCs w:val="22"/>
        </w:rPr>
        <w:t>.</w:t>
      </w:r>
      <w:r w:rsidR="007221F0" w:rsidRPr="00CF2948">
        <w:rPr>
          <w:rFonts w:asciiTheme="minorHAnsi" w:hAnsiTheme="minorHAnsi" w:cstheme="minorHAnsi"/>
          <w:sz w:val="22"/>
          <w:szCs w:val="22"/>
        </w:rPr>
        <w:tab/>
      </w:r>
      <w:r w:rsidR="00D92088" w:rsidRPr="00CF2948">
        <w:rPr>
          <w:rFonts w:asciiTheme="minorHAnsi" w:hAnsiTheme="minorHAnsi" w:cstheme="minorHAnsi"/>
          <w:sz w:val="22"/>
          <w:szCs w:val="22"/>
        </w:rPr>
        <w:t xml:space="preserve">a) </w:t>
      </w:r>
      <w:r w:rsidR="007221F0" w:rsidRPr="00CF2948">
        <w:rPr>
          <w:rFonts w:asciiTheme="minorHAnsi" w:hAnsiTheme="minorHAnsi" w:cstheme="minorHAnsi"/>
          <w:sz w:val="22"/>
          <w:szCs w:val="22"/>
        </w:rPr>
        <w:tab/>
      </w:r>
      <w:r w:rsidR="00D92088" w:rsidRPr="00CF2948">
        <w:rPr>
          <w:rFonts w:asciiTheme="minorHAnsi" w:hAnsiTheme="minorHAnsi" w:cstheme="minorHAnsi"/>
          <w:sz w:val="22"/>
          <w:szCs w:val="22"/>
        </w:rPr>
        <w:t>A szerződé</w:t>
      </w:r>
      <w:r w:rsidRPr="00CF2948">
        <w:rPr>
          <w:rFonts w:asciiTheme="minorHAnsi" w:hAnsiTheme="minorHAnsi" w:cstheme="minorHAnsi"/>
          <w:sz w:val="22"/>
          <w:szCs w:val="22"/>
        </w:rPr>
        <w:t>skötési tilalmi időszak [Kbt. 124</w:t>
      </w:r>
      <w:r w:rsidR="00D92088" w:rsidRPr="00CF2948">
        <w:rPr>
          <w:rFonts w:asciiTheme="minorHAnsi" w:hAnsiTheme="minorHAnsi" w:cstheme="minorHAnsi"/>
          <w:sz w:val="22"/>
          <w:szCs w:val="22"/>
        </w:rPr>
        <w:t>. § (</w:t>
      </w:r>
      <w:r w:rsidRPr="00CF2948">
        <w:rPr>
          <w:rFonts w:asciiTheme="minorHAnsi" w:hAnsiTheme="minorHAnsi" w:cstheme="minorHAnsi"/>
          <w:sz w:val="22"/>
          <w:szCs w:val="22"/>
        </w:rPr>
        <w:t>6</w:t>
      </w:r>
      <w:r w:rsidR="00D92088" w:rsidRPr="00CF2948">
        <w:rPr>
          <w:rFonts w:asciiTheme="minorHAnsi" w:hAnsiTheme="minorHAnsi" w:cstheme="minorHAnsi"/>
          <w:sz w:val="22"/>
          <w:szCs w:val="22"/>
        </w:rPr>
        <w:t>) bekezdés] kezdőnapja:</w:t>
      </w:r>
      <w:r w:rsidR="00930794" w:rsidRPr="00CF2948">
        <w:rPr>
          <w:rFonts w:asciiTheme="minorHAnsi" w:hAnsiTheme="minorHAnsi" w:cstheme="minorHAnsi"/>
          <w:sz w:val="22"/>
          <w:szCs w:val="22"/>
        </w:rPr>
        <w:t xml:space="preserve"> </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2014. december 20.</w:t>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D92088" w:rsidRPr="00CF2948" w:rsidRDefault="00D92088" w:rsidP="007221F0">
      <w:pPr>
        <w:autoSpaceDE w:val="0"/>
        <w:autoSpaceDN w:val="0"/>
        <w:adjustRightInd w:val="0"/>
        <w:ind w:left="1134" w:hanging="567"/>
        <w:jc w:val="both"/>
        <w:rPr>
          <w:rFonts w:asciiTheme="minorHAnsi" w:hAnsiTheme="minorHAnsi" w:cstheme="minorHAnsi"/>
          <w:sz w:val="22"/>
          <w:szCs w:val="22"/>
        </w:rPr>
      </w:pPr>
      <w:r w:rsidRPr="00CF2948">
        <w:rPr>
          <w:rFonts w:asciiTheme="minorHAnsi" w:hAnsiTheme="minorHAnsi" w:cstheme="minorHAnsi"/>
          <w:sz w:val="22"/>
          <w:szCs w:val="22"/>
        </w:rPr>
        <w:t xml:space="preserve">b) </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szerződ</w:t>
      </w:r>
      <w:r w:rsidR="00C243D8" w:rsidRPr="00CF2948">
        <w:rPr>
          <w:rFonts w:asciiTheme="minorHAnsi" w:hAnsiTheme="minorHAnsi" w:cstheme="minorHAnsi"/>
          <w:sz w:val="22"/>
          <w:szCs w:val="22"/>
        </w:rPr>
        <w:t>éskötési tilalmi időszak [Kbt. 124</w:t>
      </w:r>
      <w:r w:rsidRPr="00CF2948">
        <w:rPr>
          <w:rFonts w:asciiTheme="minorHAnsi" w:hAnsiTheme="minorHAnsi" w:cstheme="minorHAnsi"/>
          <w:sz w:val="22"/>
          <w:szCs w:val="22"/>
        </w:rPr>
        <w:t>. § (</w:t>
      </w:r>
      <w:r w:rsidR="00C243D8" w:rsidRPr="00CF2948">
        <w:rPr>
          <w:rFonts w:asciiTheme="minorHAnsi" w:hAnsiTheme="minorHAnsi" w:cstheme="minorHAnsi"/>
          <w:sz w:val="22"/>
          <w:szCs w:val="22"/>
        </w:rPr>
        <w:t>6</w:t>
      </w:r>
      <w:r w:rsidRPr="00CF2948">
        <w:rPr>
          <w:rFonts w:asciiTheme="minorHAnsi" w:hAnsiTheme="minorHAnsi" w:cstheme="minorHAnsi"/>
          <w:sz w:val="22"/>
          <w:szCs w:val="22"/>
        </w:rPr>
        <w:t>) bekezdés] utolsó napja:</w:t>
      </w:r>
      <w:r w:rsidR="00930794" w:rsidRPr="00CF2948">
        <w:rPr>
          <w:rFonts w:asciiTheme="minorHAnsi" w:hAnsiTheme="minorHAnsi" w:cstheme="minorHAnsi"/>
          <w:sz w:val="22"/>
          <w:szCs w:val="22"/>
        </w:rPr>
        <w:t xml:space="preserve"> </w:t>
      </w:r>
    </w:p>
    <w:p w:rsidR="007F4A38" w:rsidRPr="00CF2948" w:rsidRDefault="007F4A38" w:rsidP="007221F0">
      <w:pPr>
        <w:autoSpaceDE w:val="0"/>
        <w:autoSpaceDN w:val="0"/>
        <w:adjustRightInd w:val="0"/>
        <w:ind w:left="1134"/>
        <w:jc w:val="both"/>
        <w:rPr>
          <w:rFonts w:asciiTheme="minorHAnsi" w:hAnsiTheme="minorHAnsi" w:cstheme="minorHAnsi"/>
          <w:sz w:val="22"/>
          <w:szCs w:val="22"/>
        </w:rPr>
      </w:pPr>
    </w:p>
    <w:p w:rsidR="007221F0" w:rsidRPr="00CF2948" w:rsidRDefault="00CF2948" w:rsidP="007221F0">
      <w:p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2014. december 29.</w:t>
      </w:r>
    </w:p>
    <w:p w:rsidR="00CF2948" w:rsidRDefault="00CF2948">
      <w:pPr>
        <w:rPr>
          <w:rFonts w:asciiTheme="minorHAnsi" w:hAnsiTheme="minorHAnsi" w:cstheme="minorHAnsi"/>
          <w:sz w:val="22"/>
          <w:szCs w:val="22"/>
        </w:rPr>
      </w:pPr>
      <w:r>
        <w:rPr>
          <w:rFonts w:asciiTheme="minorHAnsi" w:hAnsiTheme="minorHAnsi" w:cstheme="minorHAnsi"/>
          <w:sz w:val="22"/>
          <w:szCs w:val="22"/>
        </w:rPr>
        <w:br w:type="page"/>
      </w:r>
    </w:p>
    <w:p w:rsidR="007221F0" w:rsidRPr="00CF2948" w:rsidRDefault="007221F0" w:rsidP="007221F0">
      <w:pPr>
        <w:autoSpaceDE w:val="0"/>
        <w:autoSpaceDN w:val="0"/>
        <w:adjustRightInd w:val="0"/>
        <w:ind w:left="1134"/>
        <w:jc w:val="both"/>
        <w:rPr>
          <w:rFonts w:asciiTheme="minorHAnsi" w:hAnsiTheme="minorHAnsi" w:cstheme="minorHAnsi"/>
          <w:sz w:val="22"/>
          <w:szCs w:val="22"/>
        </w:rPr>
      </w:pPr>
    </w:p>
    <w:p w:rsidR="00C243D8" w:rsidRPr="00CF2948" w:rsidRDefault="007221F0"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16.</w:t>
      </w:r>
      <w:r w:rsidRPr="00CF2948">
        <w:rPr>
          <w:rFonts w:asciiTheme="minorHAnsi" w:hAnsiTheme="minorHAnsi" w:cstheme="minorHAnsi"/>
          <w:sz w:val="22"/>
          <w:szCs w:val="22"/>
        </w:rPr>
        <w:tab/>
      </w:r>
      <w:r w:rsidR="00C243D8" w:rsidRPr="00CF2948">
        <w:rPr>
          <w:rFonts w:asciiTheme="minorHAnsi" w:hAnsiTheme="minorHAnsi" w:cstheme="minorHAnsi"/>
          <w:sz w:val="22"/>
          <w:szCs w:val="22"/>
        </w:rPr>
        <w:t xml:space="preserve">Az összegezés elkészítésének időpontja: </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7221F0"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2014. december 19.</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C243D8" w:rsidRPr="00CF2948" w:rsidRDefault="007221F0"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17.</w:t>
      </w:r>
      <w:r w:rsidRPr="00CF2948">
        <w:rPr>
          <w:rFonts w:asciiTheme="minorHAnsi" w:hAnsiTheme="minorHAnsi" w:cstheme="minorHAnsi"/>
          <w:sz w:val="22"/>
          <w:szCs w:val="22"/>
        </w:rPr>
        <w:tab/>
      </w:r>
      <w:r w:rsidR="00C243D8" w:rsidRPr="00CF2948">
        <w:rPr>
          <w:rFonts w:asciiTheme="minorHAnsi" w:hAnsiTheme="minorHAnsi" w:cstheme="minorHAnsi"/>
          <w:sz w:val="22"/>
          <w:szCs w:val="22"/>
        </w:rPr>
        <w:t xml:space="preserve">Az összegezés megküldésének időpontja: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7221F0" w:rsidRPr="00CF2948" w:rsidRDefault="00CF2948" w:rsidP="007221F0">
      <w:pPr>
        <w:autoSpaceDE w:val="0"/>
        <w:autoSpaceDN w:val="0"/>
        <w:adjustRightInd w:val="0"/>
        <w:ind w:left="567"/>
        <w:jc w:val="both"/>
        <w:rPr>
          <w:rFonts w:asciiTheme="minorHAnsi" w:hAnsiTheme="minorHAnsi" w:cstheme="minorHAnsi"/>
          <w:sz w:val="22"/>
          <w:szCs w:val="22"/>
        </w:rPr>
      </w:pPr>
      <w:r w:rsidRPr="00CF2948">
        <w:rPr>
          <w:rFonts w:asciiTheme="minorHAnsi" w:hAnsiTheme="minorHAnsi" w:cstheme="minorHAnsi"/>
          <w:sz w:val="22"/>
          <w:szCs w:val="22"/>
        </w:rPr>
        <w:t>2014. december 19.</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18.</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Az ös</w:t>
      </w:r>
      <w:r w:rsidR="007221F0" w:rsidRPr="00CF2948">
        <w:rPr>
          <w:rFonts w:asciiTheme="minorHAnsi" w:hAnsiTheme="minorHAnsi" w:cstheme="minorHAnsi"/>
          <w:sz w:val="22"/>
          <w:szCs w:val="22"/>
        </w:rPr>
        <w:t xml:space="preserve">szegezés módosításának indoka: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19.</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Az össze</w:t>
      </w:r>
      <w:r w:rsidR="007221F0" w:rsidRPr="00CF2948">
        <w:rPr>
          <w:rFonts w:asciiTheme="minorHAnsi" w:hAnsiTheme="minorHAnsi" w:cstheme="minorHAnsi"/>
          <w:sz w:val="22"/>
          <w:szCs w:val="22"/>
        </w:rPr>
        <w:t xml:space="preserve">gezés módosításának időpontja: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20.</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módosított összegezés megkü</w:t>
      </w:r>
      <w:r w:rsidR="007221F0" w:rsidRPr="00CF2948">
        <w:rPr>
          <w:rFonts w:asciiTheme="minorHAnsi" w:hAnsiTheme="minorHAnsi" w:cstheme="minorHAnsi"/>
          <w:sz w:val="22"/>
          <w:szCs w:val="22"/>
        </w:rPr>
        <w:t xml:space="preserve">ldésének időpontja: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21.</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 xml:space="preserve">Az </w:t>
      </w:r>
      <w:r w:rsidR="007221F0" w:rsidRPr="00CF2948">
        <w:rPr>
          <w:rFonts w:asciiTheme="minorHAnsi" w:hAnsiTheme="minorHAnsi" w:cstheme="minorHAnsi"/>
          <w:sz w:val="22"/>
          <w:szCs w:val="22"/>
        </w:rPr>
        <w:t xml:space="preserve">összegezés javításának indoka: </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22.</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Az öss</w:t>
      </w:r>
      <w:r w:rsidR="00F07272" w:rsidRPr="00CF2948">
        <w:rPr>
          <w:rFonts w:asciiTheme="minorHAnsi" w:hAnsiTheme="minorHAnsi" w:cstheme="minorHAnsi"/>
          <w:sz w:val="22"/>
          <w:szCs w:val="22"/>
        </w:rPr>
        <w:t xml:space="preserve">zegezés javításának időpontja: </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23.</w:t>
      </w:r>
      <w:r w:rsidR="007221F0" w:rsidRPr="00CF2948">
        <w:rPr>
          <w:rFonts w:asciiTheme="minorHAnsi" w:hAnsiTheme="minorHAnsi" w:cstheme="minorHAnsi"/>
          <w:sz w:val="22"/>
          <w:szCs w:val="22"/>
        </w:rPr>
        <w:tab/>
      </w:r>
      <w:r w:rsidRPr="00CF2948">
        <w:rPr>
          <w:rFonts w:asciiTheme="minorHAnsi" w:hAnsiTheme="minorHAnsi" w:cstheme="minorHAnsi"/>
          <w:sz w:val="22"/>
          <w:szCs w:val="22"/>
        </w:rPr>
        <w:t>A javított össze</w:t>
      </w:r>
      <w:r w:rsidR="00F07272" w:rsidRPr="00CF2948">
        <w:rPr>
          <w:rFonts w:asciiTheme="minorHAnsi" w:hAnsiTheme="minorHAnsi" w:cstheme="minorHAnsi"/>
          <w:sz w:val="22"/>
          <w:szCs w:val="22"/>
        </w:rPr>
        <w:t xml:space="preserve">gezés megküldésének időpontja: </w:t>
      </w:r>
    </w:p>
    <w:p w:rsidR="007221F0" w:rsidRPr="00CF2948" w:rsidRDefault="007221F0"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C243D8" w:rsidRPr="00CF2948" w:rsidRDefault="00C243D8" w:rsidP="007221F0">
      <w:pPr>
        <w:autoSpaceDE w:val="0"/>
        <w:autoSpaceDN w:val="0"/>
        <w:adjustRightInd w:val="0"/>
        <w:ind w:left="567" w:hanging="567"/>
        <w:jc w:val="both"/>
        <w:rPr>
          <w:rFonts w:asciiTheme="minorHAnsi" w:hAnsiTheme="minorHAnsi" w:cstheme="minorHAnsi"/>
          <w:sz w:val="22"/>
          <w:szCs w:val="22"/>
        </w:rPr>
      </w:pPr>
      <w:r w:rsidRPr="00CF2948">
        <w:rPr>
          <w:rFonts w:asciiTheme="minorHAnsi" w:hAnsiTheme="minorHAnsi" w:cstheme="minorHAnsi"/>
          <w:sz w:val="22"/>
          <w:szCs w:val="22"/>
        </w:rPr>
        <w:t>24.</w:t>
      </w:r>
      <w:r w:rsidR="007221F0" w:rsidRPr="00CF2948">
        <w:rPr>
          <w:rFonts w:asciiTheme="minorHAnsi" w:hAnsiTheme="minorHAnsi" w:cstheme="minorHAnsi"/>
          <w:sz w:val="22"/>
          <w:szCs w:val="22"/>
        </w:rPr>
        <w:tab/>
      </w:r>
      <w:r w:rsidR="00F07272" w:rsidRPr="00CF2948">
        <w:rPr>
          <w:rFonts w:asciiTheme="minorHAnsi" w:hAnsiTheme="minorHAnsi" w:cstheme="minorHAnsi"/>
          <w:sz w:val="22"/>
          <w:szCs w:val="22"/>
        </w:rPr>
        <w:t xml:space="preserve">Egyéb információk: </w:t>
      </w:r>
    </w:p>
    <w:p w:rsidR="007F4A38" w:rsidRPr="00CF2948" w:rsidRDefault="007F4A38" w:rsidP="007221F0">
      <w:pPr>
        <w:autoSpaceDE w:val="0"/>
        <w:autoSpaceDN w:val="0"/>
        <w:adjustRightInd w:val="0"/>
        <w:ind w:left="567"/>
        <w:jc w:val="both"/>
        <w:rPr>
          <w:rFonts w:asciiTheme="minorHAnsi" w:hAnsiTheme="minorHAnsi" w:cstheme="minorHAnsi"/>
          <w:sz w:val="22"/>
          <w:szCs w:val="22"/>
        </w:rPr>
      </w:pPr>
    </w:p>
    <w:p w:rsidR="00F07272" w:rsidRPr="00CF2948" w:rsidRDefault="00CF2948" w:rsidP="007221F0">
      <w:pPr>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w:t>
      </w:r>
    </w:p>
    <w:p w:rsidR="00A77F32" w:rsidRPr="00CF2948" w:rsidRDefault="00A77F32" w:rsidP="007221F0">
      <w:pPr>
        <w:autoSpaceDE w:val="0"/>
        <w:autoSpaceDN w:val="0"/>
        <w:adjustRightInd w:val="0"/>
        <w:ind w:left="567"/>
        <w:jc w:val="both"/>
        <w:rPr>
          <w:rFonts w:asciiTheme="minorHAnsi" w:hAnsiTheme="minorHAnsi" w:cstheme="minorHAnsi"/>
          <w:sz w:val="22"/>
          <w:szCs w:val="22"/>
        </w:rPr>
      </w:pPr>
    </w:p>
    <w:p w:rsidR="00F07272" w:rsidRPr="00CF2948" w:rsidRDefault="00F07272" w:rsidP="007221F0">
      <w:pPr>
        <w:autoSpaceDE w:val="0"/>
        <w:autoSpaceDN w:val="0"/>
        <w:adjustRightInd w:val="0"/>
        <w:ind w:left="567"/>
        <w:jc w:val="both"/>
        <w:rPr>
          <w:rFonts w:asciiTheme="minorHAnsi" w:hAnsiTheme="minorHAnsi" w:cstheme="minorHAnsi"/>
          <w:sz w:val="22"/>
          <w:szCs w:val="22"/>
        </w:rPr>
      </w:pPr>
    </w:p>
    <w:p w:rsidR="007F4A38" w:rsidRPr="00CF2948" w:rsidRDefault="007F4A38" w:rsidP="007F4A38">
      <w:pPr>
        <w:widowControl w:val="0"/>
        <w:autoSpaceDE w:val="0"/>
        <w:autoSpaceDN w:val="0"/>
        <w:adjustRightInd w:val="0"/>
        <w:jc w:val="both"/>
        <w:rPr>
          <w:rFonts w:asciiTheme="minorHAnsi" w:hAnsiTheme="minorHAnsi" w:cstheme="minorHAnsi"/>
          <w:sz w:val="22"/>
          <w:szCs w:val="22"/>
        </w:rPr>
      </w:pPr>
      <w:r w:rsidRPr="00CF2948">
        <w:rPr>
          <w:rFonts w:asciiTheme="minorHAnsi" w:hAnsiTheme="minorHAnsi" w:cstheme="minorHAnsi"/>
          <w:sz w:val="22"/>
          <w:szCs w:val="22"/>
        </w:rPr>
        <w:t xml:space="preserve">Kelt: Budapest, </w:t>
      </w:r>
      <w:r w:rsidR="00CF2948" w:rsidRPr="00CF2948">
        <w:rPr>
          <w:rFonts w:asciiTheme="minorHAnsi" w:hAnsiTheme="minorHAnsi" w:cstheme="minorHAnsi"/>
          <w:sz w:val="22"/>
          <w:szCs w:val="22"/>
        </w:rPr>
        <w:t>2014. december 19.</w:t>
      </w:r>
    </w:p>
    <w:p w:rsidR="007F4A38" w:rsidRPr="00CF2948" w:rsidRDefault="007F4A38" w:rsidP="007221F0">
      <w:pPr>
        <w:widowControl w:val="0"/>
        <w:autoSpaceDE w:val="0"/>
        <w:autoSpaceDN w:val="0"/>
        <w:adjustRightInd w:val="0"/>
        <w:jc w:val="both"/>
        <w:rPr>
          <w:rFonts w:asciiTheme="minorHAnsi" w:hAnsiTheme="minorHAnsi" w:cstheme="minorHAnsi"/>
          <w:sz w:val="22"/>
          <w:szCs w:val="22"/>
        </w:rPr>
      </w:pPr>
    </w:p>
    <w:p w:rsidR="007F4A38" w:rsidRPr="00CF2948" w:rsidRDefault="007F4A38" w:rsidP="007221F0">
      <w:pPr>
        <w:widowControl w:val="0"/>
        <w:autoSpaceDE w:val="0"/>
        <w:autoSpaceDN w:val="0"/>
        <w:adjustRightInd w:val="0"/>
        <w:jc w:val="both"/>
        <w:rPr>
          <w:rFonts w:asciiTheme="minorHAnsi" w:hAnsiTheme="minorHAnsi" w:cstheme="minorHAnsi"/>
          <w:sz w:val="22"/>
          <w:szCs w:val="22"/>
        </w:rPr>
      </w:pPr>
    </w:p>
    <w:p w:rsidR="007F4A38" w:rsidRDefault="007F4A38" w:rsidP="007221F0">
      <w:pPr>
        <w:widowControl w:val="0"/>
        <w:autoSpaceDE w:val="0"/>
        <w:autoSpaceDN w:val="0"/>
        <w:adjustRightInd w:val="0"/>
        <w:jc w:val="both"/>
        <w:rPr>
          <w:rFonts w:asciiTheme="minorHAnsi" w:hAnsiTheme="minorHAnsi" w:cstheme="minorHAnsi"/>
          <w:sz w:val="22"/>
          <w:szCs w:val="22"/>
        </w:rPr>
      </w:pPr>
    </w:p>
    <w:p w:rsidR="00CF2948" w:rsidRDefault="00CF2948" w:rsidP="007221F0">
      <w:pPr>
        <w:widowControl w:val="0"/>
        <w:autoSpaceDE w:val="0"/>
        <w:autoSpaceDN w:val="0"/>
        <w:adjustRightInd w:val="0"/>
        <w:jc w:val="both"/>
        <w:rPr>
          <w:rFonts w:asciiTheme="minorHAnsi" w:hAnsiTheme="minorHAnsi" w:cstheme="minorHAnsi"/>
          <w:sz w:val="22"/>
          <w:szCs w:val="22"/>
        </w:rPr>
      </w:pPr>
    </w:p>
    <w:p w:rsidR="00CF2948" w:rsidRDefault="00CF2948" w:rsidP="007221F0">
      <w:pPr>
        <w:widowControl w:val="0"/>
        <w:autoSpaceDE w:val="0"/>
        <w:autoSpaceDN w:val="0"/>
        <w:adjustRightInd w:val="0"/>
        <w:jc w:val="both"/>
        <w:rPr>
          <w:rFonts w:asciiTheme="minorHAnsi" w:hAnsiTheme="minorHAnsi" w:cstheme="minorHAnsi"/>
          <w:sz w:val="22"/>
          <w:szCs w:val="22"/>
        </w:rPr>
      </w:pPr>
    </w:p>
    <w:p w:rsidR="00CF2948" w:rsidRPr="00CF2948" w:rsidRDefault="00CF2948" w:rsidP="007221F0">
      <w:pPr>
        <w:widowControl w:val="0"/>
        <w:autoSpaceDE w:val="0"/>
        <w:autoSpaceDN w:val="0"/>
        <w:adjustRightInd w:val="0"/>
        <w:jc w:val="both"/>
        <w:rPr>
          <w:rFonts w:asciiTheme="minorHAnsi" w:hAnsiTheme="minorHAnsi" w:cstheme="minorHAnsi"/>
          <w:sz w:val="22"/>
          <w:szCs w:val="22"/>
        </w:rPr>
      </w:pPr>
    </w:p>
    <w:p w:rsidR="002F0BF3" w:rsidRPr="00CF2948" w:rsidRDefault="00CF2948" w:rsidP="002F0BF3">
      <w:pPr>
        <w:autoSpaceDE w:val="0"/>
        <w:autoSpaceDN w:val="0"/>
        <w:adjustRightInd w:val="0"/>
        <w:ind w:left="3402"/>
        <w:jc w:val="right"/>
        <w:rPr>
          <w:rFonts w:asciiTheme="minorHAnsi" w:hAnsiTheme="minorHAnsi" w:cstheme="minorHAnsi"/>
          <w:b/>
          <w:sz w:val="22"/>
          <w:szCs w:val="22"/>
        </w:rPr>
      </w:pPr>
      <w:r w:rsidRPr="00CF2948">
        <w:rPr>
          <w:rFonts w:asciiTheme="minorHAnsi" w:hAnsiTheme="minorHAnsi" w:cstheme="minorHAnsi"/>
          <w:b/>
          <w:sz w:val="22"/>
          <w:szCs w:val="22"/>
        </w:rPr>
        <w:t>Kaposvár Megyei Jogú Város Önkormányzata</w:t>
      </w:r>
    </w:p>
    <w:p w:rsidR="002F0BF3" w:rsidRPr="00CF2948" w:rsidRDefault="002F0BF3" w:rsidP="002F0BF3">
      <w:pPr>
        <w:autoSpaceDE w:val="0"/>
        <w:autoSpaceDN w:val="0"/>
        <w:adjustRightInd w:val="0"/>
        <w:ind w:left="3828"/>
        <w:jc w:val="right"/>
        <w:rPr>
          <w:rFonts w:asciiTheme="minorHAnsi" w:hAnsiTheme="minorHAnsi" w:cstheme="minorHAnsi"/>
          <w:b/>
          <w:sz w:val="22"/>
          <w:szCs w:val="22"/>
        </w:rPr>
      </w:pPr>
      <w:r w:rsidRPr="00CF2948">
        <w:rPr>
          <w:rFonts w:asciiTheme="minorHAnsi" w:hAnsiTheme="minorHAnsi" w:cstheme="minorHAnsi"/>
          <w:bCs/>
          <w:sz w:val="22"/>
          <w:szCs w:val="22"/>
        </w:rPr>
        <w:t>megbízásából</w:t>
      </w:r>
    </w:p>
    <w:p w:rsidR="002F0BF3" w:rsidRPr="00CF2948" w:rsidRDefault="002F0BF3" w:rsidP="002F0BF3">
      <w:pPr>
        <w:autoSpaceDE w:val="0"/>
        <w:autoSpaceDN w:val="0"/>
        <w:adjustRightInd w:val="0"/>
        <w:jc w:val="right"/>
        <w:rPr>
          <w:rFonts w:asciiTheme="minorHAnsi" w:hAnsiTheme="minorHAnsi" w:cstheme="minorHAnsi"/>
          <w:b/>
          <w:sz w:val="22"/>
          <w:szCs w:val="22"/>
        </w:rPr>
      </w:pPr>
      <w:r w:rsidRPr="00CF2948">
        <w:rPr>
          <w:rFonts w:asciiTheme="minorHAnsi" w:hAnsiTheme="minorHAnsi" w:cstheme="minorHAnsi"/>
          <w:b/>
          <w:sz w:val="22"/>
          <w:szCs w:val="22"/>
        </w:rPr>
        <w:t>InTender Consulting Kft.</w:t>
      </w:r>
    </w:p>
    <w:p w:rsidR="002F0BF3" w:rsidRPr="00CF2948" w:rsidRDefault="001B037E" w:rsidP="002F0BF3">
      <w:pPr>
        <w:autoSpaceDE w:val="0"/>
        <w:autoSpaceDN w:val="0"/>
        <w:adjustRightInd w:val="0"/>
        <w:jc w:val="right"/>
        <w:rPr>
          <w:rFonts w:asciiTheme="minorHAnsi" w:hAnsiTheme="minorHAnsi" w:cstheme="minorHAnsi"/>
          <w:b/>
          <w:sz w:val="22"/>
          <w:szCs w:val="22"/>
        </w:rPr>
      </w:pPr>
      <w:r w:rsidRPr="00CF2948">
        <w:rPr>
          <w:rFonts w:asciiTheme="minorHAnsi" w:hAnsiTheme="minorHAnsi" w:cstheme="minorHAnsi"/>
          <w:b/>
          <w:sz w:val="22"/>
          <w:szCs w:val="22"/>
        </w:rPr>
        <w:t>D</w:t>
      </w:r>
      <w:r w:rsidR="002F0BF3" w:rsidRPr="00CF2948">
        <w:rPr>
          <w:rFonts w:asciiTheme="minorHAnsi" w:hAnsiTheme="minorHAnsi" w:cstheme="minorHAnsi"/>
          <w:b/>
          <w:sz w:val="22"/>
          <w:szCs w:val="22"/>
        </w:rPr>
        <w:t>r. Pongor Dániel</w:t>
      </w:r>
    </w:p>
    <w:p w:rsidR="009E462A" w:rsidRPr="00CF2948" w:rsidRDefault="002F0BF3" w:rsidP="002F0BF3">
      <w:pPr>
        <w:widowControl w:val="0"/>
        <w:autoSpaceDE w:val="0"/>
        <w:autoSpaceDN w:val="0"/>
        <w:adjustRightInd w:val="0"/>
        <w:ind w:left="4253"/>
        <w:jc w:val="right"/>
        <w:rPr>
          <w:rFonts w:asciiTheme="minorHAnsi" w:hAnsiTheme="minorHAnsi" w:cstheme="minorHAnsi"/>
          <w:sz w:val="22"/>
          <w:szCs w:val="22"/>
        </w:rPr>
      </w:pPr>
      <w:r w:rsidRPr="00CF2948">
        <w:rPr>
          <w:rFonts w:asciiTheme="minorHAnsi" w:hAnsiTheme="minorHAnsi" w:cstheme="minorHAnsi"/>
          <w:sz w:val="22"/>
          <w:szCs w:val="22"/>
        </w:rPr>
        <w:t>hivatalos közbeszerzési tanácsadó</w:t>
      </w:r>
    </w:p>
    <w:sectPr w:rsidR="009E462A" w:rsidRPr="00CF2948" w:rsidSect="007221F0">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96" w:rsidRDefault="00096996" w:rsidP="005A7965">
      <w:r>
        <w:separator/>
      </w:r>
    </w:p>
  </w:endnote>
  <w:endnote w:type="continuationSeparator" w:id="0">
    <w:p w:rsidR="00096996" w:rsidRDefault="00096996" w:rsidP="005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rono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5C" w:rsidRPr="00E0575C" w:rsidRDefault="008E419A">
    <w:pPr>
      <w:pStyle w:val="llb"/>
      <w:jc w:val="right"/>
      <w:rPr>
        <w:rFonts w:ascii="Garamond" w:hAnsi="Garamond"/>
      </w:rPr>
    </w:pPr>
    <w:r w:rsidRPr="00E0575C">
      <w:rPr>
        <w:rFonts w:ascii="Garamond" w:hAnsi="Garamond"/>
      </w:rPr>
      <w:fldChar w:fldCharType="begin"/>
    </w:r>
    <w:r w:rsidR="00E0575C" w:rsidRPr="00E0575C">
      <w:rPr>
        <w:rFonts w:ascii="Garamond" w:hAnsi="Garamond"/>
      </w:rPr>
      <w:instrText xml:space="preserve"> PAGE   \* MERGEFORMAT </w:instrText>
    </w:r>
    <w:r w:rsidRPr="00E0575C">
      <w:rPr>
        <w:rFonts w:ascii="Garamond" w:hAnsi="Garamond"/>
      </w:rPr>
      <w:fldChar w:fldCharType="separate"/>
    </w:r>
    <w:r w:rsidR="009633AA">
      <w:rPr>
        <w:rFonts w:ascii="Garamond" w:hAnsi="Garamond"/>
        <w:noProof/>
      </w:rPr>
      <w:t>1</w:t>
    </w:r>
    <w:r w:rsidRPr="00E0575C">
      <w:rPr>
        <w:rFonts w:ascii="Garamond" w:hAnsi="Garamond"/>
      </w:rPr>
      <w:fldChar w:fldCharType="end"/>
    </w:r>
  </w:p>
  <w:p w:rsidR="00E0575C" w:rsidRDefault="00E057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96" w:rsidRDefault="00096996" w:rsidP="005A7965">
      <w:r>
        <w:separator/>
      </w:r>
    </w:p>
  </w:footnote>
  <w:footnote w:type="continuationSeparator" w:id="0">
    <w:p w:rsidR="00096996" w:rsidRDefault="00096996" w:rsidP="005A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25DE"/>
    <w:multiLevelType w:val="hybridMultilevel"/>
    <w:tmpl w:val="03E253FC"/>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233D105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920B49"/>
    <w:multiLevelType w:val="hybridMultilevel"/>
    <w:tmpl w:val="1C5422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FB3265C"/>
    <w:multiLevelType w:val="hybridMultilevel"/>
    <w:tmpl w:val="443E5176"/>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696A6631"/>
    <w:multiLevelType w:val="hybridMultilevel"/>
    <w:tmpl w:val="880CCB46"/>
    <w:lvl w:ilvl="0" w:tplc="040E000F">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5">
    <w:nsid w:val="6FA02E43"/>
    <w:multiLevelType w:val="hybridMultilevel"/>
    <w:tmpl w:val="8E7C92D0"/>
    <w:lvl w:ilvl="0" w:tplc="CCD0DD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F4F413B"/>
    <w:multiLevelType w:val="hybridMultilevel"/>
    <w:tmpl w:val="7BA037A8"/>
    <w:lvl w:ilvl="0" w:tplc="417CA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462A"/>
    <w:rsid w:val="0004590E"/>
    <w:rsid w:val="00096996"/>
    <w:rsid w:val="000E5C93"/>
    <w:rsid w:val="001467FB"/>
    <w:rsid w:val="00164EF5"/>
    <w:rsid w:val="00186433"/>
    <w:rsid w:val="001B037E"/>
    <w:rsid w:val="001C3195"/>
    <w:rsid w:val="002017BB"/>
    <w:rsid w:val="00237274"/>
    <w:rsid w:val="0024707B"/>
    <w:rsid w:val="0025629A"/>
    <w:rsid w:val="002838D0"/>
    <w:rsid w:val="002A506A"/>
    <w:rsid w:val="002B0E9D"/>
    <w:rsid w:val="002C24DF"/>
    <w:rsid w:val="002C7C9B"/>
    <w:rsid w:val="002D6138"/>
    <w:rsid w:val="002F0BF3"/>
    <w:rsid w:val="00335574"/>
    <w:rsid w:val="00362047"/>
    <w:rsid w:val="0037029E"/>
    <w:rsid w:val="00377E69"/>
    <w:rsid w:val="00382451"/>
    <w:rsid w:val="003D1311"/>
    <w:rsid w:val="003E1F62"/>
    <w:rsid w:val="00462476"/>
    <w:rsid w:val="0047585B"/>
    <w:rsid w:val="00507859"/>
    <w:rsid w:val="00514E7B"/>
    <w:rsid w:val="005201B1"/>
    <w:rsid w:val="00557EF1"/>
    <w:rsid w:val="00560219"/>
    <w:rsid w:val="005A7965"/>
    <w:rsid w:val="005D2ACE"/>
    <w:rsid w:val="005E2B19"/>
    <w:rsid w:val="006A4F5E"/>
    <w:rsid w:val="006C2D2E"/>
    <w:rsid w:val="006D2BDC"/>
    <w:rsid w:val="007221F0"/>
    <w:rsid w:val="00745F6F"/>
    <w:rsid w:val="007E0569"/>
    <w:rsid w:val="007F4A38"/>
    <w:rsid w:val="0084635D"/>
    <w:rsid w:val="00860A90"/>
    <w:rsid w:val="008B51AE"/>
    <w:rsid w:val="008E419A"/>
    <w:rsid w:val="00930794"/>
    <w:rsid w:val="00931FFB"/>
    <w:rsid w:val="009374A3"/>
    <w:rsid w:val="00962118"/>
    <w:rsid w:val="009633AA"/>
    <w:rsid w:val="00994432"/>
    <w:rsid w:val="009A1CD2"/>
    <w:rsid w:val="009E462A"/>
    <w:rsid w:val="009E654A"/>
    <w:rsid w:val="00A77F32"/>
    <w:rsid w:val="00A8484F"/>
    <w:rsid w:val="00AA1E3A"/>
    <w:rsid w:val="00AA785B"/>
    <w:rsid w:val="00B44E05"/>
    <w:rsid w:val="00BC5120"/>
    <w:rsid w:val="00C243D8"/>
    <w:rsid w:val="00CA64E1"/>
    <w:rsid w:val="00CB4DC1"/>
    <w:rsid w:val="00CD770F"/>
    <w:rsid w:val="00CD7C99"/>
    <w:rsid w:val="00CE054F"/>
    <w:rsid w:val="00CF2948"/>
    <w:rsid w:val="00D01462"/>
    <w:rsid w:val="00D149D9"/>
    <w:rsid w:val="00D21D1D"/>
    <w:rsid w:val="00D856DA"/>
    <w:rsid w:val="00D91EA6"/>
    <w:rsid w:val="00D92088"/>
    <w:rsid w:val="00DB6A95"/>
    <w:rsid w:val="00E0575C"/>
    <w:rsid w:val="00E12D8C"/>
    <w:rsid w:val="00E16E70"/>
    <w:rsid w:val="00E744A9"/>
    <w:rsid w:val="00E84C85"/>
    <w:rsid w:val="00EB4D55"/>
    <w:rsid w:val="00EE1AE2"/>
    <w:rsid w:val="00F07272"/>
    <w:rsid w:val="00F623F0"/>
    <w:rsid w:val="00F93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188368-B9F1-449E-9C5B-A23C085A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462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E462A"/>
    <w:pPr>
      <w:tabs>
        <w:tab w:val="center" w:pos="4536"/>
        <w:tab w:val="right" w:pos="9072"/>
      </w:tabs>
    </w:pPr>
  </w:style>
  <w:style w:type="character" w:styleId="Oldalszm">
    <w:name w:val="page number"/>
    <w:basedOn w:val="Bekezdsalapbettpusa"/>
    <w:rsid w:val="009E462A"/>
  </w:style>
  <w:style w:type="paragraph" w:styleId="Lbjegyzetszveg">
    <w:name w:val="footnote text"/>
    <w:basedOn w:val="Norml"/>
    <w:semiHidden/>
    <w:rsid w:val="009E462A"/>
    <w:rPr>
      <w:sz w:val="20"/>
      <w:szCs w:val="20"/>
    </w:rPr>
  </w:style>
  <w:style w:type="paragraph" w:styleId="Szvegtrzsbehzssal">
    <w:name w:val="Body Text Indent"/>
    <w:basedOn w:val="Norml"/>
    <w:rsid w:val="009E462A"/>
    <w:pPr>
      <w:spacing w:after="120"/>
      <w:ind w:left="283"/>
    </w:pPr>
  </w:style>
  <w:style w:type="paragraph" w:styleId="Szvegtrzs3">
    <w:name w:val="Body Text 3"/>
    <w:basedOn w:val="Norml"/>
    <w:rsid w:val="009E462A"/>
    <w:pPr>
      <w:spacing w:after="120"/>
    </w:pPr>
    <w:rPr>
      <w:sz w:val="16"/>
      <w:szCs w:val="16"/>
    </w:rPr>
  </w:style>
  <w:style w:type="paragraph" w:styleId="Buborkszveg">
    <w:name w:val="Balloon Text"/>
    <w:basedOn w:val="Norml"/>
    <w:semiHidden/>
    <w:rsid w:val="005E2B19"/>
    <w:rPr>
      <w:rFonts w:ascii="Tahoma" w:hAnsi="Tahoma" w:cs="Tahoma"/>
      <w:sz w:val="16"/>
      <w:szCs w:val="16"/>
    </w:rPr>
  </w:style>
  <w:style w:type="character" w:styleId="Jegyzethivatkozs">
    <w:name w:val="annotation reference"/>
    <w:semiHidden/>
    <w:rsid w:val="00F623F0"/>
    <w:rPr>
      <w:sz w:val="16"/>
      <w:szCs w:val="16"/>
    </w:rPr>
  </w:style>
  <w:style w:type="paragraph" w:styleId="Jegyzetszveg">
    <w:name w:val="annotation text"/>
    <w:basedOn w:val="Norml"/>
    <w:semiHidden/>
    <w:rsid w:val="00F623F0"/>
    <w:rPr>
      <w:sz w:val="20"/>
      <w:szCs w:val="20"/>
    </w:rPr>
  </w:style>
  <w:style w:type="paragraph" w:styleId="Megjegyzstrgya">
    <w:name w:val="annotation subject"/>
    <w:basedOn w:val="Jegyzetszveg"/>
    <w:next w:val="Jegyzetszveg"/>
    <w:semiHidden/>
    <w:rsid w:val="00F623F0"/>
    <w:rPr>
      <w:b/>
      <w:bCs/>
    </w:rPr>
  </w:style>
  <w:style w:type="paragraph" w:styleId="lfej">
    <w:name w:val="header"/>
    <w:basedOn w:val="Norml"/>
    <w:link w:val="lfejChar"/>
    <w:rsid w:val="005A7965"/>
    <w:pPr>
      <w:tabs>
        <w:tab w:val="center" w:pos="4536"/>
        <w:tab w:val="right" w:pos="9072"/>
      </w:tabs>
    </w:pPr>
  </w:style>
  <w:style w:type="character" w:customStyle="1" w:styleId="lfejChar">
    <w:name w:val="Élőfej Char"/>
    <w:link w:val="lfej"/>
    <w:rsid w:val="005A7965"/>
    <w:rPr>
      <w:sz w:val="24"/>
      <w:szCs w:val="24"/>
    </w:rPr>
  </w:style>
  <w:style w:type="character" w:customStyle="1" w:styleId="llbChar">
    <w:name w:val="Élőláb Char"/>
    <w:link w:val="llb"/>
    <w:uiPriority w:val="99"/>
    <w:rsid w:val="005A7965"/>
    <w:rPr>
      <w:sz w:val="24"/>
      <w:szCs w:val="24"/>
    </w:rPr>
  </w:style>
  <w:style w:type="paragraph" w:styleId="Vltozat">
    <w:name w:val="Revision"/>
    <w:hidden/>
    <w:uiPriority w:val="99"/>
    <w:semiHidden/>
    <w:rsid w:val="002B0E9D"/>
    <w:rPr>
      <w:sz w:val="24"/>
      <w:szCs w:val="24"/>
    </w:rPr>
  </w:style>
  <w:style w:type="paragraph" w:styleId="Listaszerbekezds">
    <w:name w:val="List Paragraph"/>
    <w:basedOn w:val="Norml"/>
    <w:qFormat/>
    <w:rsid w:val="0037029E"/>
    <w:pPr>
      <w:spacing w:before="60" w:after="60" w:line="288" w:lineRule="auto"/>
      <w:ind w:left="720"/>
      <w:contextualSpacing/>
      <w:jc w:val="both"/>
    </w:pPr>
    <w:rPr>
      <w:rFonts w:ascii="Cronos Pro" w:eastAsia="Calibri" w:hAnsi="Cronos Pro"/>
      <w:sz w:val="22"/>
      <w:szCs w:val="22"/>
      <w:lang w:eastAsia="en-US"/>
    </w:rPr>
  </w:style>
  <w:style w:type="paragraph" w:customStyle="1" w:styleId="OkeanBehuzas">
    <w:name w:val="Okean_Behuzas"/>
    <w:basedOn w:val="Szvegtrzs3"/>
    <w:rsid w:val="00994432"/>
    <w:pPr>
      <w:spacing w:after="60" w:line="360" w:lineRule="exact"/>
      <w:ind w:left="567"/>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816</Words>
  <Characters>5552</Characters>
  <Application>Microsoft Office Word</Application>
  <DocSecurity>4</DocSecurity>
  <Lines>46</Lines>
  <Paragraphs>12</Paragraphs>
  <ScaleCrop>false</ScaleCrop>
  <HeadingPairs>
    <vt:vector size="2" baseType="variant">
      <vt:variant>
        <vt:lpstr>Cím</vt:lpstr>
      </vt:variant>
      <vt:variant>
        <vt:i4>1</vt:i4>
      </vt:variant>
    </vt:vector>
  </HeadingPairs>
  <TitlesOfParts>
    <vt:vector size="1" baseType="lpstr">
      <vt:lpstr>18</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KBT</dc:creator>
  <cp:lastModifiedBy>machtamas</cp:lastModifiedBy>
  <cp:revision>2</cp:revision>
  <cp:lastPrinted>2014-12-19T15:16:00Z</cp:lastPrinted>
  <dcterms:created xsi:type="dcterms:W3CDTF">2014-12-22T09:31:00Z</dcterms:created>
  <dcterms:modified xsi:type="dcterms:W3CDTF">2014-12-22T09:31:00Z</dcterms:modified>
</cp:coreProperties>
</file>