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F77C8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F77C8A">
              <w:rPr>
                <w:rFonts w:eastAsia="Calibri"/>
                <w:b/>
                <w:lang w:eastAsia="en-US"/>
              </w:rPr>
              <w:t>Szociális Központ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7226D5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226D5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269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516727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 </w:t>
                  </w:r>
                  <w:r w:rsidR="00691F71">
                    <w:rPr>
                      <w:sz w:val="20"/>
                      <w:szCs w:val="20"/>
                    </w:rPr>
                    <w:t>Állami támogatások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E03CAB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E03CAB" w:rsidRDefault="00E03CAB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719" w:type="dxa"/>
                  <w:vAlign w:val="center"/>
                </w:tcPr>
                <w:p w:rsidR="00E03CAB" w:rsidRDefault="00E03CAB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Pr="00C12FC5"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E03CAB" w:rsidRDefault="00E03CAB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407CB"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E03CAB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51672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516727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516727" w:rsidRDefault="00E03CAB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  <w:r w:rsidR="00516727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516727" w:rsidRDefault="0051672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** ÁSZ ellenőrzés intézkedéseinek végrehajtása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516727" w:rsidRDefault="0051672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0B0203" w:rsidRDefault="00516727" w:rsidP="002648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 A</w:t>
            </w:r>
            <w:r w:rsidR="003B75B7" w:rsidRPr="00F67268">
              <w:rPr>
                <w:rFonts w:eastAsia="Calibri"/>
                <w:lang w:eastAsia="en-US"/>
              </w:rPr>
              <w:t>z ellenőrzés</w:t>
            </w:r>
            <w:r w:rsidR="007226D5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  <w:p w:rsidR="00516727" w:rsidRPr="00F67268" w:rsidRDefault="00516727" w:rsidP="0026480F">
            <w:r>
              <w:rPr>
                <w:rFonts w:eastAsia="Calibri"/>
                <w:lang w:eastAsia="en-US"/>
              </w:rPr>
              <w:t>** Az ellenőrzés soron kívül, a munkaterven felül került végrehajtásra.</w:t>
            </w:r>
          </w:p>
        </w:tc>
      </w:tr>
      <w:tr w:rsidR="003B75B7" w:rsidRPr="00F67268" w:rsidTr="00D2599E">
        <w:trPr>
          <w:trHeight w:val="2790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175191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17519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516727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6727">
              <w:rPr>
                <w:rFonts w:eastAsia="Calibri"/>
                <w:b/>
                <w:sz w:val="20"/>
                <w:szCs w:val="20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4868BC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E03CAB" w:rsidRDefault="008307D2" w:rsidP="00773676">
            <w:pPr>
              <w:rPr>
                <w:rFonts w:eastAsia="Calibri"/>
                <w:color w:val="4F81BD"/>
                <w:sz w:val="18"/>
                <w:szCs w:val="18"/>
                <w:lang w:eastAsia="en-US"/>
              </w:rPr>
            </w:pPr>
            <w:r w:rsidRPr="00E03CAB">
              <w:rPr>
                <w:rFonts w:eastAsia="Calibri"/>
                <w:b/>
                <w:color w:val="4F81BD"/>
                <w:sz w:val="18"/>
                <w:szCs w:val="18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605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4678"/>
              <w:gridCol w:w="3402"/>
            </w:tblGrid>
            <w:tr w:rsidR="008307D2" w:rsidRPr="0044525D" w:rsidTr="00734EDF">
              <w:trPr>
                <w:trHeight w:val="242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734EDF">
              <w:trPr>
                <w:trHeight w:val="283"/>
              </w:trPr>
              <w:tc>
                <w:tcPr>
                  <w:tcW w:w="960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7226D5" w:rsidRPr="007226D5" w:rsidTr="00734EDF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Pr="004868BC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868BC"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68BC" w:rsidRPr="004868BC" w:rsidRDefault="004868BC" w:rsidP="004868BC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868BC">
                    <w:rPr>
                      <w:rFonts w:eastAsia="Calibri"/>
                      <w:sz w:val="16"/>
                      <w:szCs w:val="16"/>
                      <w:lang w:eastAsia="en-US"/>
                    </w:rPr>
                    <w:t>A Liget Otthonban végzett vizsgálat során a 2021. évi állami támogatás elszámolásához benyújtott adatszolgáltatás alátámasztását a benyújtott bizonylatok alapján ellenőrizt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ük</w:t>
                  </w:r>
                  <w:r w:rsidRPr="004868BC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4868BC" w:rsidRPr="004868BC" w:rsidRDefault="004868BC" w:rsidP="004868BC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868BC">
                    <w:rPr>
                      <w:rFonts w:eastAsia="Calibri"/>
                      <w:sz w:val="16"/>
                      <w:szCs w:val="16"/>
                      <w:lang w:eastAsia="en-US"/>
                    </w:rPr>
                    <w:t>A 2021. január és november hónapra készített napi étkezési kimutatást, a havi bontásban készített statisztikai kimutatást és a gondozási napokról készített január és november havi kimutatást egyeztett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ük</w:t>
                  </w:r>
                  <w:r w:rsidRPr="004868B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A 2021. évről kiállított statisztikában feltüntetett ápolási napok, a gondozási napokról készített kimutatás és az étkezési nyilvántartás alátámasztotta a 2021. évi állami támogatás elszámolásához benyújtott adatszolgáltatást. </w:t>
                  </w:r>
                </w:p>
                <w:p w:rsidR="004868BC" w:rsidRPr="004868BC" w:rsidRDefault="004868BC" w:rsidP="004868BC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868BC">
                    <w:rPr>
                      <w:rFonts w:eastAsia="Calibri"/>
                      <w:sz w:val="16"/>
                      <w:szCs w:val="16"/>
                      <w:lang w:eastAsia="en-US"/>
                    </w:rPr>
                    <w:t>A nyilvántartások alátámasztása érdekében az intézménytől bekértük a lakók szobák szerinti elhelyezését, melyet egyezettünk az előző évi elhelyezéssel, figyelembe véve a 2021. évi változásokat.</w:t>
                  </w:r>
                </w:p>
                <w:p w:rsidR="009A610D" w:rsidRPr="007226D5" w:rsidRDefault="009A610D" w:rsidP="00B627A1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24D5" w:rsidRPr="004868BC" w:rsidRDefault="006F1CF9" w:rsidP="006F1CF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868BC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5A2485" w:rsidRPr="004868BC" w:rsidRDefault="005A2485" w:rsidP="00F87558">
                  <w:pPr>
                    <w:pStyle w:val="Listaszerbekezds"/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03CAB" w:rsidRPr="007226D5" w:rsidTr="00E03CAB">
              <w:trPr>
                <w:trHeight w:val="300"/>
              </w:trPr>
              <w:tc>
                <w:tcPr>
                  <w:tcW w:w="960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03CAB" w:rsidRPr="004868BC" w:rsidRDefault="00E03CAB" w:rsidP="006F1CF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868B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7226D5" w:rsidRPr="007226D5" w:rsidTr="00734EDF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Pr="004868BC" w:rsidRDefault="004868BC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868BC"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Kaposvári Szociális Központ (továbbiakban: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>) 20 dokumentumot juttatott el az Ellenőrzési Iroda részére a vizsgálatra. A dokumentumok közül 3 db másolatban (papír alapon), 17 db elektronikusan (e-mailben) érkezett. 9 db szabályzatot MS Word formátumban küldött meg az intézmény, mely így – aláírás hiányában – nem tekinthető érvényesnek.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elkészítette a következő szabályzatokat: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Szervezeti és Működési Szabályzat;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 a Szabályzat az anyag- és eszközgazdálkodás számviteli politikában nem szabályozott kérdéseiről; 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Belföldi és külföldi kiküldetésének elrendelésével, lebonyolításával és elszámolásával kapcsolatos szabályzat;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Szabályzat a reprezentációs kiadásokról;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Gépjármű használati és kiküldetési szabályzat;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Szabályzat a vezetékes és mobiltelefonok használatáról;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Szabályzat a közérdekű adatok megismerésére irányuló kérelmek intézésének, továbbá a kötelezően közzéteendő adatok nyilvánosságra hozatalának rendjéről;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Kaposvári Szociális Központ Iratkezelési Szabályzata;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az Ellenőrzési nyomvonal;</w:t>
                  </w:r>
                </w:p>
                <w:p w:rsidR="001733E8" w:rsidRPr="001733E8" w:rsidRDefault="001733E8" w:rsidP="001733E8">
                  <w:pPr>
                    <w:numPr>
                      <w:ilvl w:val="0"/>
                      <w:numId w:val="3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 Szervezeti integritást sértő események kezelésének szabályzat.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lastRenderedPageBreak/>
                    <w:t xml:space="preserve">A Kaposvári Humánszolgáltatási Gondnokság (továbbiakban: Kaposvári GESZ) készítette el a Számviteli politikát, az Eszközök és források értékelési szabályzatát, a Pénzkezelési szabályzatot, a Számlarendet, a Kötelezettségvállalás, utalványozás, ellenjegyzés, érvényesítés rendjének szabályzatát, a Kaposvári Humánszolgáltatási Gondnokság beszerzései lebonyolításának szabályzatát és a Felesleges vagyontárgyak hasznosítási és selejtezési szabályzatot. A Kaposvári GESZ a szabályzatokat –a Számlarendet kivéve – kiterjesztette 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KSzK-ra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. 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vizsgálatra megküldött Szervezeti és Működési Szabályzat nem tekinthető érvényesnek, aláírást és bélyegző lenyomatot nem tartalmaz. A Kaposvár Megyei Jogú Város honlapján szereplő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SzMSz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szövege szerint a dokumentum 2019. április 26-tól hatályos</w:t>
                  </w:r>
                  <w:r w:rsidR="00DC1010">
                    <w:rPr>
                      <w:sz w:val="16"/>
                      <w:szCs w:val="16"/>
                    </w:rPr>
                    <w:t>, az</w:t>
                  </w:r>
                  <w:r w:rsidRPr="001733E8">
                    <w:rPr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1733E8">
                    <w:rPr>
                      <w:sz w:val="16"/>
                      <w:szCs w:val="16"/>
                    </w:rPr>
                    <w:t xml:space="preserve">igazgató adta ki. 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honlapján az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SzMSz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nem található meg.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Az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SzMSz-ben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nem az Alapítói okiratban szereplő alapítási időpontot tüntették fel, az Alapítói okirat keltét és számát nem szerepeltették. Valamint nem tartalmazza az Alapítói okiratban szereplő valamennyi tevékenység kormányzati funkció szerinti megjelölését. A vizsgálatra benyújtott példányhoz nem csatoltak mellékleteket. Külön dokumentumként juttatták el a Szociális Gondozási Központ Ügyrendjét, a Liget Időskorúak Otthona Ügyrendjét és a Szervezet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Organogramját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. 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Kaposvári GESZ által kiadott és 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KSzK-ra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kiterjesztett szabályzatok közül többet nem az érvényes változatban juttattak el a vizsgálatra, egy szabályzatot nem küldtek meg.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Az eszközök és források értékelési szabályzata nem felelt meg az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Áhsz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>. 50. §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-ban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szereplő valamennyi előírásnak.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Pénzkezelési szabályzat 6. sz. mellékletének megfelelően 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KSzK-ra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vonatkozó pénzkezelő hely működésének helyi szabályait nem adták át a vizsgálatra, nem kezelték együtt a szabályzattal. 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Számlarend nem felelt meg teljes mértékben 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Számv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. tv. 161. § (2) bekezdés valamennyi pontjának. 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Az igazgató – a Kaposvári GESZ által elkészített szabályzatok közül – három esetben nyilatkozott a jóváhagyásról, melyek közül az egyiket a Kaposvári GESZ juttatta el a vizsgálatra.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 xml:space="preserve"> saját szabályzatait – kivéve a Szervezeti integritást sértő események kezelésének szabályzatát – MS Word formátumban küldték meg. Több szabályzat esetében előfordult, hogy a fejezetek sorszámozása nem volt folyamatos, illetve nem követtek egységes szerkezetet. Előfordult, hogy olyan munkakörre írtak elő feladatot, amellyel nem rendelkezik a </w:t>
                  </w:r>
                  <w:proofErr w:type="spellStart"/>
                  <w:r w:rsidRPr="001733E8">
                    <w:rPr>
                      <w:sz w:val="16"/>
                      <w:szCs w:val="16"/>
                    </w:rPr>
                    <w:t>KSzK</w:t>
                  </w:r>
                  <w:proofErr w:type="spellEnd"/>
                  <w:r w:rsidRPr="001733E8">
                    <w:rPr>
                      <w:sz w:val="16"/>
                      <w:szCs w:val="16"/>
                    </w:rPr>
                    <w:t>, vagy más intézménynek határoztak meg feladatot. A kiküldetés helyi sajátosságait két szabályzatban is meghatározták.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733E8">
                    <w:rPr>
                      <w:sz w:val="16"/>
                      <w:szCs w:val="16"/>
                    </w:rPr>
                    <w:t>Megismerési nyilatkozatot egyik szabályzat sem tartalmazott érvényes formában.</w:t>
                  </w:r>
                </w:p>
                <w:p w:rsidR="001733E8" w:rsidRPr="001733E8" w:rsidRDefault="001733E8" w:rsidP="001733E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914DAD" w:rsidRPr="001733E8" w:rsidRDefault="00914DAD" w:rsidP="000D7012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3484" w:rsidRPr="00933484" w:rsidRDefault="00933484" w:rsidP="0093348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</w:t>
                  </w:r>
                  <w:r w:rsidR="001A087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 a </w:t>
                  </w:r>
                  <w:proofErr w:type="spellStart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KSzK-nak</w:t>
                  </w:r>
                  <w:proofErr w:type="spellEnd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 szabályzatait mindig érvényes formában kezeljék, mely tartalmazza az aláírást és a bélyegző lenyomatot is.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Szervezeti és Működési Szabályzatot annak érdekében, hogy feleljen meg az </w:t>
                  </w:r>
                  <w:proofErr w:type="spellStart"/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13. § (1) b) pontjában előírtaknak, valamint tartalmazza az alapítói okirat szerinti valamennyi tevékenység kormányzati funkció szerinti megjelölését. Az </w:t>
                  </w:r>
                  <w:proofErr w:type="spellStart"/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mellékleteit kezeljék együtt a szabályzattal.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a Kaposvári GESZ által kiadott szabályzatok jóváhagyásáról, melyet kezeljenek együtt a hatályos szabályzatokkal.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Fordítsanak nagyobb figyelmet arra, hogy az intézményre kiterjesztett szabályzatok közül az utolsó módosított változat rendelkezésre álljon, azt tekintsék hatályosnak. 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 Pénzkezelési szabályzat 6. sz. mellékletének megfelelően a </w:t>
                  </w:r>
                  <w:proofErr w:type="spellStart"/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>KSzK-ra</w:t>
                  </w:r>
                  <w:proofErr w:type="spellEnd"/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vonatkozó pénzkezelő hely működésének helyi szabályait.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Módosítsák a </w:t>
                  </w:r>
                  <w:r w:rsidRPr="00933484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Szabályzat az anyag- és eszközgazdálkodás számviteli politikában nem szabályozott kérdéseiről </w:t>
                  </w: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>szóló rendelkezéseket úgy, hogy ne írjanak elő feladatot más költségvetési szervnek, illetve az érvényben lévő fogalmakat használják.</w:t>
                  </w:r>
                  <w:r w:rsidRPr="00933484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933484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Belföldi és külföldi kiküldetésének elrendelésével, lebonyolításával és elszámolásával kapcsolatos szabályzatot</w:t>
                  </w: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úgy, hogy egyértelmű és a helyi igényekhez igazodó rendelkezéseket tartalmazzon. 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Dolgozzák át a </w:t>
                  </w:r>
                  <w:r w:rsidRPr="00933484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Szabályzat a reprezentációs kiadásokról</w:t>
                  </w: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szóló rendelkezést úgy, hogy egyértelmű és az intézményre vonatkozó előírásokat tartalmazzon.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933484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Gépjármű használati és kiküldetési szabályzatot</w:t>
                  </w: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, annak érdekében, hogy ne tartalmazzon olyan rendelkezéseket, melyeket már másik szabályzatban rögzítettek, továbbá biztosítsák a fejezetek sorszámozásának folyamatosságát.  </w:t>
                  </w:r>
                </w:p>
                <w:p w:rsidR="00933484" w:rsidRPr="00933484" w:rsidRDefault="00933484" w:rsidP="00933484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933484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Szabályzat a vezetékes és mobiltelefonok használatáról</w:t>
                  </w:r>
                  <w:r w:rsidRPr="0093348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szóló rendelkezést, annak érdekében, hogy a fejezeteinek sorszámozása folyamatos és követhető legyen. </w:t>
                  </w:r>
                </w:p>
                <w:p w:rsidR="00933484" w:rsidRPr="00933484" w:rsidRDefault="00933484" w:rsidP="0093348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Átlagos jelentőségű javaslat a </w:t>
                  </w:r>
                  <w:proofErr w:type="spellStart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KSzK-nak</w:t>
                  </w:r>
                  <w:proofErr w:type="spellEnd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933484" w:rsidRDefault="00933484" w:rsidP="001A0876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1A0876" w:rsidRPr="001A0876" w:rsidRDefault="001A0876" w:rsidP="001A0876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33484" w:rsidRPr="00933484" w:rsidRDefault="00933484" w:rsidP="0093348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</w:t>
                  </w:r>
                  <w:r w:rsidR="001A087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 a Kaposvári </w:t>
                  </w:r>
                  <w:proofErr w:type="spellStart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933484" w:rsidRPr="001A0876" w:rsidRDefault="00933484" w:rsidP="001A0876">
                  <w:pPr>
                    <w:numPr>
                      <w:ilvl w:val="0"/>
                      <w:numId w:val="40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933484" w:rsidRPr="001A0876" w:rsidRDefault="00933484" w:rsidP="001A0876">
                  <w:pPr>
                    <w:numPr>
                      <w:ilvl w:val="0"/>
                      <w:numId w:val="40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933484" w:rsidRPr="00933484" w:rsidRDefault="00933484" w:rsidP="0093348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Csekély jelentőségű javaslat a Kaposvári </w:t>
                  </w:r>
                  <w:proofErr w:type="spellStart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  <w:r w:rsidRPr="0093348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933484" w:rsidRPr="001A0876" w:rsidRDefault="00933484" w:rsidP="001A0876">
                  <w:pPr>
                    <w:numPr>
                      <w:ilvl w:val="0"/>
                      <w:numId w:val="40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soron következő módosításnál nevesítsék a </w:t>
                  </w:r>
                  <w:proofErr w:type="spellStart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>KSzK-t</w:t>
                  </w:r>
                  <w:proofErr w:type="spellEnd"/>
                  <w:r w:rsidRPr="001A087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azokban a szabályzatokban, amelyeket kiterjesztettek rá.</w:t>
                  </w:r>
                </w:p>
                <w:p w:rsidR="008307D2" w:rsidRPr="00933484" w:rsidRDefault="008307D2" w:rsidP="001E32C1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226D5" w:rsidRPr="007226D5" w:rsidTr="00734EDF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7226D5" w:rsidRDefault="00D2599E" w:rsidP="00D2599E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4868BC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4868B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4868BC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734EDF" w:rsidRDefault="00CE7B4F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34EDF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pénzmaradvánnyal szemben beállított kötelezettségek</w:t>
                  </w:r>
                  <w:r w:rsidR="00045D89" w:rsidRPr="00734ED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alátámasztotta</w:t>
                  </w:r>
                  <w:r w:rsidRPr="00734ED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k.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Pr="00734EDF" w:rsidRDefault="005A017E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34ED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ellenőrzési jelentés az </w:t>
                  </w:r>
                  <w:r w:rsidR="00045D89" w:rsidRPr="00734EDF">
                    <w:rPr>
                      <w:rFonts w:eastAsia="Calibri"/>
                      <w:sz w:val="16"/>
                      <w:szCs w:val="16"/>
                      <w:lang w:eastAsia="en-US"/>
                    </w:rPr>
                    <w:t>intézményre</w:t>
                  </w:r>
                  <w:r w:rsidRPr="00734ED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vonatkozóan javaslatot nem fogalmazott meg.</w:t>
                  </w:r>
                </w:p>
              </w:tc>
            </w:tr>
            <w:tr w:rsidR="004868BC" w:rsidRPr="007226D5" w:rsidTr="00734EDF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868BC" w:rsidRPr="004868BC" w:rsidRDefault="004868BC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ÁSZ ellenőrzés intézkedéseinek végrehajtása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Az Állami Számvevőszék „Az önkormányzati intézmények ellenőrzése – Az önkormányzat és társulás irányítása alá tartozó intézmények integritásának monitoring típusú ellenőrzése” című ellenőrzése kiterjedt a Kaposvári Szociális Központra is.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 során feltárt </w:t>
                  </w:r>
                  <w:r w:rsidR="004E5587">
                    <w:rPr>
                      <w:rFonts w:eastAsia="Calibri"/>
                      <w:sz w:val="16"/>
                      <w:szCs w:val="16"/>
                      <w:lang w:eastAsia="en-US"/>
                    </w:rPr>
                    <w:t>hiányosság</w:t>
                  </w: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megszüntetése érdekében az Állami Számvevőszék az EL-3143-627/2021. ügyiratszámú figyelemfelhívó levéllel fordult az intézményhez. 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Jelen ellenőrzés során az Állami Számvevőszék által feltárt 2 db hiányosság megszüntetésére irányuló intézkedés végrehajtását vizsgáltuk.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791D6B" w:rsidRPr="00791D6B" w:rsidRDefault="00791D6B" w:rsidP="00791D6B">
                  <w:pPr>
                    <w:numPr>
                      <w:ilvl w:val="0"/>
                      <w:numId w:val="3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hiányosság: Az intézmény 2021. évben hatályos szervezeti és működési szabályzata nem tartalmazta az intézmény szervezeti ábráját.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u w:val="single"/>
                      <w:lang w:eastAsia="en-US"/>
                    </w:rPr>
                    <w:t>Megállapítás:</w:t>
                  </w: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 jelen vizsgálatra átadott </w:t>
                  </w:r>
                  <w:proofErr w:type="spellStart"/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mellékletként tartalmazta az intézmény szervezeti ábráját is. 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A szervezeti ábrát az intézmény a figyelemfelhívó levél kézhezvételét követően, 2021. november 24-én kelt levelének mellékleteként az Állami Számvevőszék részére megküldte.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791D6B" w:rsidRPr="00791D6B" w:rsidRDefault="00791D6B" w:rsidP="00791D6B">
                  <w:pPr>
                    <w:numPr>
                      <w:ilvl w:val="0"/>
                      <w:numId w:val="3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hiányosság: Az intézményvezető a 2021. évben nem készítette el a számlarendet.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u w:val="single"/>
                      <w:lang w:eastAsia="en-US"/>
                    </w:rPr>
                    <w:t>Megállapítás:</w:t>
                  </w: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 jelen ellenőrzésre átadott számlarendhez, melyet a gazdasági feladatokat ellátó szerv készített, csatolták a Kaposvári Szociális Központ igazgatójának 2021. november 17-én kelt nyilatkozatát, mely szerint a számlarenddel egyetért, és azt jóváhagyja. </w:t>
                  </w:r>
                </w:p>
                <w:p w:rsidR="00791D6B" w:rsidRPr="00791D6B" w:rsidRDefault="00791D6B" w:rsidP="00791D6B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 a számlarend jóváhagyásáról szóló igazgatói nyilatkozatot a számvevőszéki figyelemfelhívó levél kézhezvételét követően, 2021. november 24-én kelt levelének mellékleteként az Állami Számvevőszék részére megküldte.</w:t>
                  </w:r>
                </w:p>
                <w:p w:rsidR="004868BC" w:rsidRPr="00791D6B" w:rsidRDefault="004868BC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1D6B" w:rsidRPr="00791D6B" w:rsidRDefault="00791D6B" w:rsidP="00791D6B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91D6B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4868BC" w:rsidRPr="007226D5" w:rsidRDefault="004868BC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color w:val="FF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E03CAB" w:rsidRPr="00240DF3" w:rsidRDefault="00E03CAB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  <w:p w:rsidR="00736F0D" w:rsidRDefault="00736F0D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736F0D" w:rsidRPr="00240DF3" w:rsidRDefault="00736F0D" w:rsidP="008307D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36F0D" w:rsidRDefault="00736F0D">
      <w:r>
        <w:lastRenderedPageBreak/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736F0D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4B64D4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4B64D4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4B64D4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736F0D" w:rsidRPr="004B64D4" w:rsidRDefault="00736F0D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4B64D4" w:rsidRPr="007226D5" w:rsidRDefault="004B64D4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880C6C" w:rsidRPr="004868BC" w:rsidRDefault="005102A5" w:rsidP="005102A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868BC">
              <w:rPr>
                <w:rFonts w:eastAsia="Calibri"/>
                <w:lang w:eastAsia="en-US"/>
              </w:rPr>
              <w:t xml:space="preserve"> „</w:t>
            </w:r>
            <w:r w:rsidRPr="004868BC">
              <w:rPr>
                <w:rFonts w:eastAsia="Calibri"/>
                <w:b/>
                <w:lang w:eastAsia="en-US"/>
              </w:rPr>
              <w:t>Az állami támogatások elszámolása</w:t>
            </w:r>
            <w:r w:rsidR="004868BC" w:rsidRPr="004868BC">
              <w:rPr>
                <w:rFonts w:eastAsia="Calibri"/>
                <w:lang w:eastAsia="en-US"/>
              </w:rPr>
              <w:t>” tárgyú 2022</w:t>
            </w:r>
            <w:r w:rsidRPr="004868BC">
              <w:rPr>
                <w:rFonts w:eastAsia="Calibri"/>
                <w:lang w:eastAsia="en-US"/>
              </w:rPr>
              <w:t xml:space="preserve">. évi </w:t>
            </w:r>
            <w:r w:rsidR="00D96055" w:rsidRPr="004868BC">
              <w:rPr>
                <w:rFonts w:eastAsia="Calibri"/>
                <w:lang w:eastAsia="en-US"/>
              </w:rPr>
              <w:t>ellenőrzési jelenté</w:t>
            </w:r>
            <w:r w:rsidR="008E7E04" w:rsidRPr="004868BC">
              <w:rPr>
                <w:rFonts w:eastAsia="Calibri"/>
                <w:lang w:eastAsia="en-US"/>
              </w:rPr>
              <w:t>sre az intézménynek</w:t>
            </w:r>
            <w:r w:rsidR="00D96055" w:rsidRPr="004868BC">
              <w:rPr>
                <w:rFonts w:eastAsia="Calibri"/>
                <w:lang w:eastAsia="en-US"/>
              </w:rPr>
              <w:t xml:space="preserve"> nem kellett intézkedési tervet készítenie.</w:t>
            </w:r>
          </w:p>
          <w:p w:rsidR="00D96055" w:rsidRPr="007226D5" w:rsidRDefault="00D96055" w:rsidP="005102A5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71764" w:rsidRPr="006E4EF8" w:rsidRDefault="00880C6C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E4EF8">
              <w:rPr>
                <w:rFonts w:eastAsia="Calibri"/>
                <w:lang w:eastAsia="en-US"/>
              </w:rPr>
              <w:t>„</w:t>
            </w:r>
            <w:r w:rsidRPr="006E4EF8">
              <w:rPr>
                <w:rFonts w:eastAsia="Calibri"/>
                <w:b/>
                <w:lang w:eastAsia="en-US"/>
              </w:rPr>
              <w:t xml:space="preserve">A </w:t>
            </w:r>
            <w:r w:rsidR="001A0876" w:rsidRPr="006E4EF8">
              <w:rPr>
                <w:rFonts w:eastAsia="Calibri"/>
                <w:b/>
                <w:lang w:eastAsia="en-US"/>
              </w:rPr>
              <w:t>gazdálkodással kapcsolatos szabályzatok</w:t>
            </w:r>
            <w:r w:rsidR="001A0876" w:rsidRPr="006E4EF8">
              <w:rPr>
                <w:rFonts w:eastAsia="Calibri"/>
                <w:lang w:eastAsia="en-US"/>
              </w:rPr>
              <w:t>” tárgyú 2022</w:t>
            </w:r>
            <w:r w:rsidRPr="006E4EF8">
              <w:rPr>
                <w:rFonts w:eastAsia="Calibri"/>
                <w:lang w:eastAsia="en-US"/>
              </w:rPr>
              <w:t>. évi ellenőrzési jelentésre készített intézkedé</w:t>
            </w:r>
            <w:r w:rsidR="00773676" w:rsidRPr="006E4EF8">
              <w:rPr>
                <w:rFonts w:eastAsia="Calibri"/>
                <w:lang w:eastAsia="en-US"/>
              </w:rPr>
              <w:t>si terv</w:t>
            </w:r>
            <w:r w:rsidR="008E7E04" w:rsidRPr="006E4EF8">
              <w:rPr>
                <w:rFonts w:eastAsia="Calibri"/>
                <w:lang w:eastAsia="en-US"/>
              </w:rPr>
              <w:t>ek az intézményre</w:t>
            </w:r>
            <w:r w:rsidR="00773676" w:rsidRPr="006E4EF8">
              <w:rPr>
                <w:rFonts w:eastAsia="Calibri"/>
                <w:lang w:eastAsia="en-US"/>
              </w:rPr>
              <w:t xml:space="preserve"> vonatkozóan </w:t>
            </w:r>
            <w:r w:rsidR="001A0876" w:rsidRPr="006E4EF8">
              <w:rPr>
                <w:rFonts w:eastAsia="Calibri"/>
                <w:lang w:eastAsia="en-US"/>
              </w:rPr>
              <w:t>9</w:t>
            </w:r>
            <w:r w:rsidRPr="006E4EF8">
              <w:rPr>
                <w:rFonts w:eastAsia="Calibri"/>
                <w:lang w:eastAsia="en-US"/>
              </w:rPr>
              <w:t xml:space="preserve"> db</w:t>
            </w:r>
            <w:r w:rsidR="008E7E04" w:rsidRPr="006E4EF8">
              <w:rPr>
                <w:rFonts w:eastAsia="Calibri"/>
                <w:lang w:eastAsia="en-US"/>
              </w:rPr>
              <w:t xml:space="preserve">, a </w:t>
            </w:r>
            <w:proofErr w:type="spellStart"/>
            <w:r w:rsidR="008E7E04" w:rsidRPr="006E4EF8">
              <w:rPr>
                <w:rFonts w:eastAsia="Calibri"/>
                <w:lang w:eastAsia="en-US"/>
              </w:rPr>
              <w:t>GESZ-re</w:t>
            </w:r>
            <w:proofErr w:type="spellEnd"/>
            <w:r w:rsidR="008E7E04" w:rsidRPr="006E4EF8">
              <w:rPr>
                <w:rFonts w:eastAsia="Calibri"/>
                <w:lang w:eastAsia="en-US"/>
              </w:rPr>
              <w:t xml:space="preserve"> vonatkozóan</w:t>
            </w:r>
            <w:r w:rsidRPr="006E4EF8">
              <w:rPr>
                <w:rFonts w:eastAsia="Calibri"/>
                <w:lang w:eastAsia="en-US"/>
              </w:rPr>
              <w:t xml:space="preserve"> </w:t>
            </w:r>
            <w:r w:rsidR="001A0876" w:rsidRPr="006E4EF8">
              <w:rPr>
                <w:rFonts w:eastAsia="Calibri"/>
                <w:lang w:eastAsia="en-US"/>
              </w:rPr>
              <w:t>3</w:t>
            </w:r>
            <w:r w:rsidR="008E7E04" w:rsidRPr="006E4EF8">
              <w:rPr>
                <w:rFonts w:eastAsia="Calibri"/>
                <w:lang w:eastAsia="en-US"/>
              </w:rPr>
              <w:t xml:space="preserve"> db intézkedést tartalmaztak</w:t>
            </w:r>
            <w:r w:rsidR="005C404D" w:rsidRPr="006E4EF8">
              <w:rPr>
                <w:rFonts w:eastAsia="Calibri"/>
                <w:lang w:eastAsia="en-US"/>
              </w:rPr>
              <w:t xml:space="preserve">. Az intézkedések végrehajtásáról </w:t>
            </w:r>
            <w:r w:rsidR="001A0876" w:rsidRPr="006E4EF8">
              <w:rPr>
                <w:rFonts w:eastAsia="Calibri"/>
                <w:lang w:eastAsia="en-US"/>
              </w:rPr>
              <w:t>2023-ban kell beszámolót készíteni.</w:t>
            </w:r>
          </w:p>
          <w:p w:rsidR="008307D2" w:rsidRPr="007226D5" w:rsidRDefault="008307D2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8307D2" w:rsidRDefault="00CE7B4F" w:rsidP="008E7E0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34EDF">
              <w:rPr>
                <w:rFonts w:eastAsia="Calibri"/>
                <w:lang w:eastAsia="en-US"/>
              </w:rPr>
              <w:t>„</w:t>
            </w:r>
            <w:r w:rsidR="00734EDF" w:rsidRPr="00734EDF">
              <w:rPr>
                <w:rFonts w:eastAsia="Calibri"/>
                <w:b/>
                <w:lang w:eastAsia="en-US"/>
              </w:rPr>
              <w:t>A 2021</w:t>
            </w:r>
            <w:r w:rsidRPr="00734EDF">
              <w:rPr>
                <w:rFonts w:eastAsia="Calibri"/>
                <w:b/>
                <w:lang w:eastAsia="en-US"/>
              </w:rPr>
              <w:t>. évi pénzmaradvány vizsgálata</w:t>
            </w:r>
            <w:r w:rsidR="00734EDF" w:rsidRPr="00734EDF">
              <w:rPr>
                <w:rFonts w:eastAsia="Calibri"/>
                <w:lang w:eastAsia="en-US"/>
              </w:rPr>
              <w:t>” tárgyú 2022</w:t>
            </w:r>
            <w:r w:rsidRPr="00734EDF">
              <w:rPr>
                <w:rFonts w:eastAsia="Calibri"/>
                <w:lang w:eastAsia="en-US"/>
              </w:rPr>
              <w:t xml:space="preserve">. évi ellenőrzési jelentésre </w:t>
            </w:r>
            <w:r w:rsidR="008E7E04" w:rsidRPr="00734EDF">
              <w:rPr>
                <w:rFonts w:eastAsia="Calibri"/>
                <w:lang w:eastAsia="en-US"/>
              </w:rPr>
              <w:t>az intézménynek</w:t>
            </w:r>
            <w:r w:rsidR="004B64D4" w:rsidRPr="00734EDF">
              <w:rPr>
                <w:rFonts w:eastAsia="Calibri"/>
                <w:lang w:eastAsia="en-US"/>
              </w:rPr>
              <w:t xml:space="preserve"> nem kellett intézkedési tervet készítenie.</w:t>
            </w:r>
          </w:p>
          <w:p w:rsidR="00734EDF" w:rsidRDefault="00734EDF" w:rsidP="008E7E0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4EDF" w:rsidRPr="004B64D4" w:rsidRDefault="00734EDF" w:rsidP="00734E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868BC">
              <w:rPr>
                <w:rFonts w:eastAsia="Calibri"/>
                <w:lang w:eastAsia="en-US"/>
              </w:rPr>
              <w:t>„</w:t>
            </w:r>
            <w:r w:rsidRPr="004868BC">
              <w:rPr>
                <w:rFonts w:eastAsia="Calibri"/>
                <w:b/>
                <w:lang w:eastAsia="en-US"/>
              </w:rPr>
              <w:t xml:space="preserve">Az </w:t>
            </w:r>
            <w:r>
              <w:rPr>
                <w:rFonts w:eastAsia="Calibri"/>
                <w:b/>
                <w:lang w:eastAsia="en-US"/>
              </w:rPr>
              <w:t>ÁSZ ellenőrzés intézkedéseinek végrehajtása</w:t>
            </w:r>
            <w:r w:rsidRPr="004868BC">
              <w:rPr>
                <w:rFonts w:eastAsia="Calibri"/>
                <w:lang w:eastAsia="en-US"/>
              </w:rPr>
              <w:t>” tárgyú 2022. évi ellenőrzési jelentésre az intézménynek nem kellett intézkedési tervet készítenie.</w:t>
            </w:r>
          </w:p>
        </w:tc>
      </w:tr>
    </w:tbl>
    <w:p w:rsidR="00734EDF" w:rsidRDefault="00734EDF" w:rsidP="00BA2F67"/>
    <w:p w:rsidR="00BA2F67" w:rsidRPr="00485977" w:rsidRDefault="007226D5" w:rsidP="00BA2F67">
      <w:r>
        <w:t>Kaposvár, 2023</w:t>
      </w:r>
      <w:r w:rsidR="00BA2F67" w:rsidRPr="00485977">
        <w:t xml:space="preserve">. </w:t>
      </w:r>
      <w:r w:rsidR="0007216F">
        <w:t xml:space="preserve">február </w:t>
      </w:r>
      <w:r>
        <w:t>8</w:t>
      </w:r>
      <w:r w:rsidR="00BA2F67" w:rsidRPr="00485977">
        <w:t>.</w:t>
      </w:r>
    </w:p>
    <w:p w:rsidR="00914DAD" w:rsidRPr="00485977" w:rsidRDefault="00914DAD" w:rsidP="00BA2F67"/>
    <w:p w:rsidR="00773676" w:rsidRPr="00485977" w:rsidRDefault="00773676" w:rsidP="00BA2F67"/>
    <w:p w:rsidR="00BA2F67" w:rsidRPr="00485977" w:rsidRDefault="00BA2F67" w:rsidP="00BA2F67">
      <w:pPr>
        <w:tabs>
          <w:tab w:val="center" w:pos="7938"/>
        </w:tabs>
      </w:pPr>
      <w:r w:rsidRPr="00485977">
        <w:t>Készítette: Kiss Brigitta</w:t>
      </w:r>
      <w:r w:rsidRPr="00485977">
        <w:tab/>
        <w:t xml:space="preserve">Jóváhagyta: </w:t>
      </w:r>
      <w:proofErr w:type="spellStart"/>
      <w:r w:rsidR="00736F0D">
        <w:t>Turnár</w:t>
      </w:r>
      <w:proofErr w:type="spellEnd"/>
      <w:r w:rsidR="00736F0D">
        <w:t xml:space="preserve"> Jánosné</w:t>
      </w:r>
    </w:p>
    <w:p w:rsidR="00F67268" w:rsidRPr="00485977" w:rsidRDefault="00BA2F67" w:rsidP="00813B1A">
      <w:pPr>
        <w:tabs>
          <w:tab w:val="center" w:pos="7938"/>
        </w:tabs>
      </w:pPr>
      <w:r w:rsidRPr="00485977">
        <w:t xml:space="preserve">          </w:t>
      </w:r>
      <w:proofErr w:type="gramStart"/>
      <w:r w:rsidRPr="00485977">
        <w:t>belső</w:t>
      </w:r>
      <w:proofErr w:type="gramEnd"/>
      <w:r w:rsidRPr="00485977">
        <w:t xml:space="preserve"> ellenőrzési vezető                                                                                   </w:t>
      </w:r>
      <w:r w:rsidR="00485977">
        <w:tab/>
        <w:t xml:space="preserve">   </w:t>
      </w:r>
      <w:r w:rsidR="00736F0D">
        <w:t>igazgató</w:t>
      </w:r>
    </w:p>
    <w:sectPr w:rsidR="00F67268" w:rsidRPr="00485977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66" w:rsidRDefault="00521D66" w:rsidP="00F410F1">
      <w:r>
        <w:separator/>
      </w:r>
    </w:p>
  </w:endnote>
  <w:endnote w:type="continuationSeparator" w:id="0">
    <w:p w:rsidR="00521D66" w:rsidRDefault="00521D66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66" w:rsidRDefault="00521D66" w:rsidP="00F410F1">
      <w:r>
        <w:separator/>
      </w:r>
    </w:p>
  </w:footnote>
  <w:footnote w:type="continuationSeparator" w:id="0">
    <w:p w:rsidR="00521D66" w:rsidRDefault="00521D66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A510C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9A7C31">
      <w:rPr>
        <w:sz w:val="20"/>
        <w:szCs w:val="20"/>
      </w:rPr>
      <w:t>3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052F"/>
    <w:multiLevelType w:val="hybridMultilevel"/>
    <w:tmpl w:val="F8BE4C24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61149"/>
    <w:multiLevelType w:val="hybridMultilevel"/>
    <w:tmpl w:val="6C46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B2ED4"/>
    <w:multiLevelType w:val="hybridMultilevel"/>
    <w:tmpl w:val="8610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28"/>
  </w:num>
  <w:num w:numId="5">
    <w:abstractNumId w:val="19"/>
  </w:num>
  <w:num w:numId="6">
    <w:abstractNumId w:val="24"/>
  </w:num>
  <w:num w:numId="7">
    <w:abstractNumId w:val="35"/>
  </w:num>
  <w:num w:numId="8">
    <w:abstractNumId w:val="2"/>
  </w:num>
  <w:num w:numId="9">
    <w:abstractNumId w:val="13"/>
  </w:num>
  <w:num w:numId="10">
    <w:abstractNumId w:val="32"/>
  </w:num>
  <w:num w:numId="11">
    <w:abstractNumId w:val="0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18"/>
  </w:num>
  <w:num w:numId="20">
    <w:abstractNumId w:val="1"/>
  </w:num>
  <w:num w:numId="21">
    <w:abstractNumId w:val="9"/>
  </w:num>
  <w:num w:numId="22">
    <w:abstractNumId w:val="8"/>
  </w:num>
  <w:num w:numId="23">
    <w:abstractNumId w:val="5"/>
  </w:num>
  <w:num w:numId="24">
    <w:abstractNumId w:val="21"/>
  </w:num>
  <w:num w:numId="25">
    <w:abstractNumId w:val="20"/>
  </w:num>
  <w:num w:numId="26">
    <w:abstractNumId w:val="11"/>
  </w:num>
  <w:num w:numId="27">
    <w:abstractNumId w:val="26"/>
  </w:num>
  <w:num w:numId="28">
    <w:abstractNumId w:val="29"/>
  </w:num>
  <w:num w:numId="29">
    <w:abstractNumId w:val="5"/>
  </w:num>
  <w:num w:numId="30">
    <w:abstractNumId w:val="21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3"/>
  </w:num>
  <w:num w:numId="36">
    <w:abstractNumId w:val="12"/>
  </w:num>
  <w:num w:numId="37">
    <w:abstractNumId w:val="33"/>
  </w:num>
  <w:num w:numId="38">
    <w:abstractNumId w:val="31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45D89"/>
    <w:rsid w:val="00060AEE"/>
    <w:rsid w:val="000627C0"/>
    <w:rsid w:val="00070B20"/>
    <w:rsid w:val="0007216F"/>
    <w:rsid w:val="0007309E"/>
    <w:rsid w:val="000746AA"/>
    <w:rsid w:val="000947CD"/>
    <w:rsid w:val="00097EF6"/>
    <w:rsid w:val="000A048E"/>
    <w:rsid w:val="000A3C4A"/>
    <w:rsid w:val="000A5656"/>
    <w:rsid w:val="000B0203"/>
    <w:rsid w:val="000B108B"/>
    <w:rsid w:val="000C7744"/>
    <w:rsid w:val="000D3BA6"/>
    <w:rsid w:val="000D7012"/>
    <w:rsid w:val="000F11B0"/>
    <w:rsid w:val="000F3428"/>
    <w:rsid w:val="001006A2"/>
    <w:rsid w:val="001062CE"/>
    <w:rsid w:val="0012330D"/>
    <w:rsid w:val="00137EEC"/>
    <w:rsid w:val="00146B2A"/>
    <w:rsid w:val="00161755"/>
    <w:rsid w:val="0016474E"/>
    <w:rsid w:val="0016650C"/>
    <w:rsid w:val="00172774"/>
    <w:rsid w:val="00173398"/>
    <w:rsid w:val="001733E8"/>
    <w:rsid w:val="00175191"/>
    <w:rsid w:val="00175EE5"/>
    <w:rsid w:val="00182052"/>
    <w:rsid w:val="001A07D1"/>
    <w:rsid w:val="001A0876"/>
    <w:rsid w:val="001A39E4"/>
    <w:rsid w:val="001A510C"/>
    <w:rsid w:val="001C4270"/>
    <w:rsid w:val="001C5540"/>
    <w:rsid w:val="001C589F"/>
    <w:rsid w:val="001D0EEF"/>
    <w:rsid w:val="001D68C8"/>
    <w:rsid w:val="001D7847"/>
    <w:rsid w:val="001E2576"/>
    <w:rsid w:val="001E32C1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1F2A"/>
    <w:rsid w:val="002928FF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0960"/>
    <w:rsid w:val="00337AAB"/>
    <w:rsid w:val="003470AE"/>
    <w:rsid w:val="00351A84"/>
    <w:rsid w:val="00357506"/>
    <w:rsid w:val="00362FAE"/>
    <w:rsid w:val="00366C9C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01611"/>
    <w:rsid w:val="00435F05"/>
    <w:rsid w:val="00440385"/>
    <w:rsid w:val="0044487A"/>
    <w:rsid w:val="00445DDB"/>
    <w:rsid w:val="00447722"/>
    <w:rsid w:val="00454CDB"/>
    <w:rsid w:val="00467EBD"/>
    <w:rsid w:val="00475BD1"/>
    <w:rsid w:val="00485977"/>
    <w:rsid w:val="004868BC"/>
    <w:rsid w:val="004A3908"/>
    <w:rsid w:val="004B64D4"/>
    <w:rsid w:val="004B708C"/>
    <w:rsid w:val="004D3592"/>
    <w:rsid w:val="004D516A"/>
    <w:rsid w:val="004E5587"/>
    <w:rsid w:val="005102A5"/>
    <w:rsid w:val="00512443"/>
    <w:rsid w:val="00513B95"/>
    <w:rsid w:val="00515130"/>
    <w:rsid w:val="00516727"/>
    <w:rsid w:val="00521D66"/>
    <w:rsid w:val="00525F2F"/>
    <w:rsid w:val="00526F01"/>
    <w:rsid w:val="0053057C"/>
    <w:rsid w:val="00530963"/>
    <w:rsid w:val="00537D1F"/>
    <w:rsid w:val="0054229F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2A1A"/>
    <w:rsid w:val="005A520F"/>
    <w:rsid w:val="005B0B73"/>
    <w:rsid w:val="005B7068"/>
    <w:rsid w:val="005C0535"/>
    <w:rsid w:val="005C2308"/>
    <w:rsid w:val="005C404D"/>
    <w:rsid w:val="005C4591"/>
    <w:rsid w:val="005C57A4"/>
    <w:rsid w:val="005C59B0"/>
    <w:rsid w:val="005D1FE4"/>
    <w:rsid w:val="005D2EFF"/>
    <w:rsid w:val="005D55D5"/>
    <w:rsid w:val="005E1118"/>
    <w:rsid w:val="005F4730"/>
    <w:rsid w:val="00601EE9"/>
    <w:rsid w:val="00602D86"/>
    <w:rsid w:val="006041B4"/>
    <w:rsid w:val="006329FB"/>
    <w:rsid w:val="00652E87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E4EF8"/>
    <w:rsid w:val="006F1CF9"/>
    <w:rsid w:val="006F4A5E"/>
    <w:rsid w:val="006F66D8"/>
    <w:rsid w:val="00717592"/>
    <w:rsid w:val="007226D5"/>
    <w:rsid w:val="00734EDF"/>
    <w:rsid w:val="00736F0D"/>
    <w:rsid w:val="007427E8"/>
    <w:rsid w:val="00744319"/>
    <w:rsid w:val="00747307"/>
    <w:rsid w:val="00751A50"/>
    <w:rsid w:val="00754A0E"/>
    <w:rsid w:val="0077093D"/>
    <w:rsid w:val="00773676"/>
    <w:rsid w:val="00791D6B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A1159"/>
    <w:rsid w:val="008A591E"/>
    <w:rsid w:val="008A5BEC"/>
    <w:rsid w:val="008B0F2E"/>
    <w:rsid w:val="008C2FB2"/>
    <w:rsid w:val="008D691C"/>
    <w:rsid w:val="008E4989"/>
    <w:rsid w:val="008E7E04"/>
    <w:rsid w:val="00914DAD"/>
    <w:rsid w:val="0092324E"/>
    <w:rsid w:val="00927303"/>
    <w:rsid w:val="00933484"/>
    <w:rsid w:val="0093580A"/>
    <w:rsid w:val="00937E3A"/>
    <w:rsid w:val="0095376D"/>
    <w:rsid w:val="00956648"/>
    <w:rsid w:val="00957753"/>
    <w:rsid w:val="00961E6C"/>
    <w:rsid w:val="009646B8"/>
    <w:rsid w:val="0097754C"/>
    <w:rsid w:val="00985182"/>
    <w:rsid w:val="00985642"/>
    <w:rsid w:val="00991DBE"/>
    <w:rsid w:val="009A0A8B"/>
    <w:rsid w:val="009A610D"/>
    <w:rsid w:val="009A7C31"/>
    <w:rsid w:val="009B2D7F"/>
    <w:rsid w:val="009C7AF9"/>
    <w:rsid w:val="009D2A93"/>
    <w:rsid w:val="009D56FE"/>
    <w:rsid w:val="009D77F5"/>
    <w:rsid w:val="009E4FEC"/>
    <w:rsid w:val="009F5BB0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673F8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223A8"/>
    <w:rsid w:val="00B30B92"/>
    <w:rsid w:val="00B60AB2"/>
    <w:rsid w:val="00B627A1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D0457"/>
    <w:rsid w:val="00BD5E99"/>
    <w:rsid w:val="00BE420A"/>
    <w:rsid w:val="00BE488B"/>
    <w:rsid w:val="00BE4DB0"/>
    <w:rsid w:val="00C03861"/>
    <w:rsid w:val="00C11520"/>
    <w:rsid w:val="00C12FC5"/>
    <w:rsid w:val="00C13167"/>
    <w:rsid w:val="00C142B0"/>
    <w:rsid w:val="00C21787"/>
    <w:rsid w:val="00C265A2"/>
    <w:rsid w:val="00C47192"/>
    <w:rsid w:val="00C55CBB"/>
    <w:rsid w:val="00C57EE8"/>
    <w:rsid w:val="00C63CAD"/>
    <w:rsid w:val="00C826AD"/>
    <w:rsid w:val="00C92E3D"/>
    <w:rsid w:val="00C96F24"/>
    <w:rsid w:val="00CB5F93"/>
    <w:rsid w:val="00CD4BC0"/>
    <w:rsid w:val="00CE7A3C"/>
    <w:rsid w:val="00CE7B4F"/>
    <w:rsid w:val="00CF2519"/>
    <w:rsid w:val="00D02D25"/>
    <w:rsid w:val="00D22010"/>
    <w:rsid w:val="00D23BAB"/>
    <w:rsid w:val="00D2599E"/>
    <w:rsid w:val="00D54C8C"/>
    <w:rsid w:val="00D661C2"/>
    <w:rsid w:val="00D72AE2"/>
    <w:rsid w:val="00D72E00"/>
    <w:rsid w:val="00D744B7"/>
    <w:rsid w:val="00D7715D"/>
    <w:rsid w:val="00D81F46"/>
    <w:rsid w:val="00D86806"/>
    <w:rsid w:val="00D96055"/>
    <w:rsid w:val="00D96883"/>
    <w:rsid w:val="00DB6555"/>
    <w:rsid w:val="00DC0AA4"/>
    <w:rsid w:val="00DC1010"/>
    <w:rsid w:val="00DC2AC6"/>
    <w:rsid w:val="00DC626F"/>
    <w:rsid w:val="00DE4C59"/>
    <w:rsid w:val="00DF086B"/>
    <w:rsid w:val="00DF1B54"/>
    <w:rsid w:val="00E03CAB"/>
    <w:rsid w:val="00E33ED3"/>
    <w:rsid w:val="00E36660"/>
    <w:rsid w:val="00E464F2"/>
    <w:rsid w:val="00E755E4"/>
    <w:rsid w:val="00E87B09"/>
    <w:rsid w:val="00ED267F"/>
    <w:rsid w:val="00ED37AD"/>
    <w:rsid w:val="00EF5A6D"/>
    <w:rsid w:val="00F236E7"/>
    <w:rsid w:val="00F2459A"/>
    <w:rsid w:val="00F370EE"/>
    <w:rsid w:val="00F40D53"/>
    <w:rsid w:val="00F410F1"/>
    <w:rsid w:val="00F4743B"/>
    <w:rsid w:val="00F67268"/>
    <w:rsid w:val="00F679E8"/>
    <w:rsid w:val="00F769A0"/>
    <w:rsid w:val="00F76DF5"/>
    <w:rsid w:val="00F77C8A"/>
    <w:rsid w:val="00F80391"/>
    <w:rsid w:val="00F872A9"/>
    <w:rsid w:val="00F87558"/>
    <w:rsid w:val="00F90686"/>
    <w:rsid w:val="00FA07AC"/>
    <w:rsid w:val="00FB24E8"/>
    <w:rsid w:val="00FB77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2C6-F9F6-44F2-89AF-C30719EC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2196</Words>
  <Characters>15158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12</cp:revision>
  <cp:lastPrinted>2023-02-09T06:48:00Z</cp:lastPrinted>
  <dcterms:created xsi:type="dcterms:W3CDTF">2022-02-10T12:44:00Z</dcterms:created>
  <dcterms:modified xsi:type="dcterms:W3CDTF">2023-02-09T07:05:00Z</dcterms:modified>
</cp:coreProperties>
</file>