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03"/>
        <w:gridCol w:w="560"/>
        <w:gridCol w:w="32"/>
        <w:gridCol w:w="701"/>
        <w:gridCol w:w="17"/>
        <w:gridCol w:w="34"/>
        <w:gridCol w:w="2217"/>
        <w:gridCol w:w="63"/>
        <w:gridCol w:w="10176"/>
      </w:tblGrid>
      <w:tr w:rsidR="00320B4D" w:rsidRPr="00F67268" w:rsidTr="000B0203">
        <w:trPr>
          <w:trHeight w:val="679"/>
        </w:trPr>
        <w:tc>
          <w:tcPr>
            <w:tcW w:w="5000" w:type="pct"/>
            <w:gridSpan w:val="10"/>
            <w:tcBorders>
              <w:top w:val="single" w:sz="24" w:space="0" w:color="auto"/>
              <w:left w:val="single" w:sz="24" w:space="0" w:color="auto"/>
              <w:bottom w:val="single" w:sz="24" w:space="0" w:color="auto"/>
              <w:right w:val="single" w:sz="24" w:space="0" w:color="auto"/>
            </w:tcBorders>
            <w:shd w:val="clear" w:color="auto" w:fill="D9D9D9"/>
            <w:vAlign w:val="center"/>
          </w:tcPr>
          <w:p w:rsidR="00320B4D" w:rsidRPr="00F67268" w:rsidRDefault="0008073C" w:rsidP="004233D8">
            <w:pPr>
              <w:jc w:val="center"/>
              <w:rPr>
                <w:rFonts w:eastAsia="Calibri"/>
                <w:b/>
                <w:lang w:eastAsia="en-US"/>
              </w:rPr>
            </w:pPr>
            <w:r>
              <w:rPr>
                <w:rFonts w:eastAsia="Calibri"/>
                <w:b/>
                <w:lang w:eastAsia="en-US"/>
              </w:rPr>
              <w:t>Rippl-Rónai Megyei Hatókörű Városi Múzeum</w:t>
            </w:r>
            <w:r w:rsidR="005822B2">
              <w:rPr>
                <w:rFonts w:eastAsia="Calibri"/>
                <w:b/>
                <w:lang w:eastAsia="en-US"/>
              </w:rPr>
              <w:t xml:space="preserve"> </w:t>
            </w:r>
            <w:r w:rsidR="00320B4D" w:rsidRPr="00F67268">
              <w:rPr>
                <w:rFonts w:eastAsia="Calibri"/>
                <w:b/>
                <w:lang w:eastAsia="en-US"/>
              </w:rPr>
              <w:t>201</w:t>
            </w:r>
            <w:r w:rsidR="00BC62DC">
              <w:rPr>
                <w:rFonts w:eastAsia="Calibri"/>
                <w:b/>
                <w:lang w:eastAsia="en-US"/>
              </w:rPr>
              <w:t>7</w:t>
            </w:r>
            <w:r w:rsidR="00320B4D" w:rsidRPr="00F67268">
              <w:rPr>
                <w:rFonts w:eastAsia="Calibri"/>
                <w:b/>
                <w:lang w:eastAsia="en-US"/>
              </w:rPr>
              <w:t>. évi ellenőrzési jelentése</w:t>
            </w:r>
          </w:p>
        </w:tc>
      </w:tr>
      <w:tr w:rsidR="00320B4D" w:rsidRPr="00F67268" w:rsidTr="007A557E">
        <w:trPr>
          <w:trHeight w:val="264"/>
        </w:trPr>
        <w:tc>
          <w:tcPr>
            <w:tcW w:w="158" w:type="pct"/>
            <w:tcBorders>
              <w:top w:val="single" w:sz="24" w:space="0" w:color="auto"/>
            </w:tcBorders>
            <w:shd w:val="clear" w:color="auto" w:fill="F2F2F2"/>
            <w:vAlign w:val="center"/>
          </w:tcPr>
          <w:p w:rsidR="00320B4D" w:rsidRPr="00F67268" w:rsidRDefault="00320B4D" w:rsidP="00300A08">
            <w:pPr>
              <w:jc w:val="center"/>
              <w:rPr>
                <w:rFonts w:eastAsia="Calibri"/>
                <w:b/>
                <w:u w:val="single"/>
                <w:lang w:eastAsia="en-US"/>
              </w:rPr>
            </w:pPr>
          </w:p>
        </w:tc>
        <w:tc>
          <w:tcPr>
            <w:tcW w:w="231" w:type="pct"/>
            <w:gridSpan w:val="2"/>
            <w:tcBorders>
              <w:top w:val="single" w:sz="24" w:space="0" w:color="auto"/>
            </w:tcBorders>
            <w:shd w:val="clear" w:color="auto" w:fill="F2F2F2"/>
            <w:vAlign w:val="center"/>
          </w:tcPr>
          <w:p w:rsidR="00320B4D" w:rsidRPr="00F67268" w:rsidRDefault="00320B4D" w:rsidP="00300A08">
            <w:pPr>
              <w:jc w:val="center"/>
              <w:rPr>
                <w:rFonts w:eastAsia="Calibri"/>
                <w:b/>
                <w:u w:val="single"/>
                <w:lang w:eastAsia="en-US"/>
              </w:rPr>
            </w:pPr>
          </w:p>
        </w:tc>
        <w:tc>
          <w:tcPr>
            <w:tcW w:w="261" w:type="pct"/>
            <w:gridSpan w:val="3"/>
            <w:tcBorders>
              <w:top w:val="single" w:sz="24" w:space="0" w:color="auto"/>
            </w:tcBorders>
            <w:shd w:val="clear" w:color="auto" w:fill="F2F2F2"/>
            <w:vAlign w:val="center"/>
          </w:tcPr>
          <w:p w:rsidR="00320B4D" w:rsidRPr="00F67268" w:rsidRDefault="00320B4D" w:rsidP="00300A08">
            <w:pPr>
              <w:jc w:val="center"/>
              <w:rPr>
                <w:rFonts w:eastAsia="Calibri"/>
                <w:b/>
                <w:u w:val="single"/>
                <w:lang w:eastAsia="en-US"/>
              </w:rPr>
            </w:pPr>
          </w:p>
        </w:tc>
        <w:tc>
          <w:tcPr>
            <w:tcW w:w="784" w:type="pct"/>
            <w:gridSpan w:val="2"/>
            <w:tcBorders>
              <w:top w:val="single" w:sz="24" w:space="0" w:color="auto"/>
            </w:tcBorders>
            <w:shd w:val="clear" w:color="auto" w:fill="F2F2F2"/>
            <w:vAlign w:val="center"/>
          </w:tcPr>
          <w:p w:rsidR="00320B4D" w:rsidRPr="00F67268" w:rsidRDefault="00320B4D" w:rsidP="00300A08">
            <w:pPr>
              <w:jc w:val="center"/>
              <w:rPr>
                <w:rFonts w:eastAsia="Calibri"/>
                <w:b/>
                <w:u w:val="single"/>
                <w:lang w:eastAsia="en-US"/>
              </w:rPr>
            </w:pPr>
          </w:p>
        </w:tc>
        <w:tc>
          <w:tcPr>
            <w:tcW w:w="3566" w:type="pct"/>
            <w:gridSpan w:val="2"/>
            <w:tcBorders>
              <w:top w:val="single" w:sz="24" w:space="0" w:color="auto"/>
            </w:tcBorders>
            <w:shd w:val="clear" w:color="auto" w:fill="F2F2F2"/>
            <w:vAlign w:val="center"/>
          </w:tcPr>
          <w:p w:rsidR="00320B4D" w:rsidRPr="00F67268" w:rsidRDefault="00320B4D" w:rsidP="00300A08">
            <w:pPr>
              <w:jc w:val="center"/>
              <w:rPr>
                <w:rFonts w:eastAsia="Calibri"/>
                <w:b/>
                <w:u w:val="single"/>
                <w:lang w:eastAsia="en-US"/>
              </w:rPr>
            </w:pPr>
          </w:p>
        </w:tc>
      </w:tr>
      <w:tr w:rsidR="00320B4D" w:rsidRPr="00F67268" w:rsidTr="000B0203">
        <w:trPr>
          <w:trHeight w:val="187"/>
        </w:trPr>
        <w:tc>
          <w:tcPr>
            <w:tcW w:w="5000" w:type="pct"/>
            <w:gridSpan w:val="10"/>
            <w:shd w:val="clear" w:color="auto" w:fill="D9D9D9"/>
          </w:tcPr>
          <w:p w:rsidR="00320B4D" w:rsidRPr="00F67268" w:rsidRDefault="00320B4D" w:rsidP="00300A08">
            <w:pPr>
              <w:rPr>
                <w:rFonts w:eastAsia="Calibri"/>
                <w:lang w:eastAsia="en-US"/>
              </w:rPr>
            </w:pPr>
          </w:p>
        </w:tc>
      </w:tr>
      <w:tr w:rsidR="003B75B7" w:rsidRPr="00F67268" w:rsidTr="007A557E">
        <w:trPr>
          <w:trHeight w:val="3354"/>
        </w:trPr>
        <w:tc>
          <w:tcPr>
            <w:tcW w:w="158" w:type="pct"/>
          </w:tcPr>
          <w:p w:rsidR="003B75B7" w:rsidRPr="00F67268" w:rsidRDefault="003B75B7" w:rsidP="003B75B7">
            <w:pPr>
              <w:rPr>
                <w:rFonts w:eastAsia="Calibri"/>
                <w:b/>
                <w:lang w:eastAsia="en-US"/>
              </w:rPr>
            </w:pPr>
          </w:p>
        </w:tc>
        <w:tc>
          <w:tcPr>
            <w:tcW w:w="231" w:type="pct"/>
            <w:gridSpan w:val="2"/>
          </w:tcPr>
          <w:p w:rsidR="003B75B7" w:rsidRPr="00F67268" w:rsidRDefault="003B75B7" w:rsidP="003B75B7">
            <w:pPr>
              <w:rPr>
                <w:rFonts w:eastAsia="Calibri"/>
                <w:b/>
                <w:lang w:eastAsia="en-US"/>
              </w:rPr>
            </w:pPr>
          </w:p>
        </w:tc>
        <w:tc>
          <w:tcPr>
            <w:tcW w:w="255" w:type="pct"/>
            <w:gridSpan w:val="2"/>
          </w:tcPr>
          <w:p w:rsidR="003B75B7" w:rsidRPr="00F67268" w:rsidRDefault="003B75B7" w:rsidP="003B75B7">
            <w:pPr>
              <w:rPr>
                <w:rFonts w:eastAsia="Calibri"/>
                <w:b/>
                <w:color w:val="4F81BD"/>
                <w:lang w:eastAsia="en-US"/>
              </w:rPr>
            </w:pPr>
          </w:p>
        </w:tc>
        <w:tc>
          <w:tcPr>
            <w:tcW w:w="812" w:type="pct"/>
            <w:gridSpan w:val="4"/>
          </w:tcPr>
          <w:p w:rsidR="003B75B7" w:rsidRPr="00F67268" w:rsidRDefault="003B75B7" w:rsidP="003B75B7">
            <w:pPr>
              <w:rPr>
                <w:rFonts w:eastAsia="Calibri"/>
                <w:b/>
                <w:color w:val="4F81BD"/>
                <w:lang w:eastAsia="en-US"/>
              </w:rPr>
            </w:pPr>
            <w:r w:rsidRPr="00F67268">
              <w:rPr>
                <w:rFonts w:eastAsia="Calibri"/>
                <w:b/>
                <w:color w:val="4F81BD"/>
                <w:lang w:eastAsia="en-US"/>
              </w:rPr>
              <w:t>Vezetői összefoglaló</w:t>
            </w:r>
          </w:p>
        </w:tc>
        <w:tc>
          <w:tcPr>
            <w:tcW w:w="3544" w:type="pct"/>
          </w:tcPr>
          <w:p w:rsidR="00717592" w:rsidRDefault="003B75B7" w:rsidP="003B75B7">
            <w:pPr>
              <w:jc w:val="both"/>
              <w:rPr>
                <w:rFonts w:eastAsia="Calibri"/>
                <w:lang w:eastAsia="en-US"/>
              </w:rPr>
            </w:pPr>
            <w:r w:rsidRPr="00F67268">
              <w:rPr>
                <w:rFonts w:eastAsia="Calibri"/>
                <w:lang w:eastAsia="en-US"/>
              </w:rPr>
              <w:t xml:space="preserve">Az államháztartásért felelős miniszter által közzétett módszertani útmutató figyelembevételével kell </w:t>
            </w:r>
            <w:r w:rsidR="00717592">
              <w:rPr>
                <w:rFonts w:eastAsia="Calibri"/>
                <w:lang w:eastAsia="en-US"/>
              </w:rPr>
              <w:t>az intézmény</w:t>
            </w:r>
            <w:r w:rsidRPr="00F67268">
              <w:rPr>
                <w:rFonts w:eastAsia="Calibri"/>
                <w:lang w:eastAsia="en-US"/>
              </w:rPr>
              <w:t xml:space="preserve"> éves ellenőrzési jelentés</w:t>
            </w:r>
            <w:r w:rsidR="00717592">
              <w:rPr>
                <w:rFonts w:eastAsia="Calibri"/>
                <w:lang w:eastAsia="en-US"/>
              </w:rPr>
              <w:t>é</w:t>
            </w:r>
            <w:r w:rsidRPr="00F67268">
              <w:rPr>
                <w:rFonts w:eastAsia="Calibri"/>
                <w:lang w:eastAsia="en-US"/>
              </w:rPr>
              <w:t>t</w:t>
            </w:r>
            <w:r w:rsidR="00717592">
              <w:rPr>
                <w:rFonts w:eastAsia="Calibri"/>
                <w:lang w:eastAsia="en-US"/>
              </w:rPr>
              <w:t xml:space="preserve"> elkészíteni</w:t>
            </w:r>
            <w:r w:rsidRPr="00F67268">
              <w:rPr>
                <w:rFonts w:eastAsia="Calibri"/>
                <w:lang w:eastAsia="en-US"/>
              </w:rPr>
              <w:t xml:space="preserve">. </w:t>
            </w:r>
          </w:p>
          <w:p w:rsidR="003B75B7" w:rsidRPr="00F67268" w:rsidRDefault="003B75B7" w:rsidP="003B75B7">
            <w:pPr>
              <w:jc w:val="both"/>
              <w:rPr>
                <w:rFonts w:eastAsia="Calibri"/>
                <w:lang w:eastAsia="en-US"/>
              </w:rPr>
            </w:pPr>
            <w:r w:rsidRPr="00F67268">
              <w:rPr>
                <w:rFonts w:eastAsia="Calibri"/>
                <w:lang w:eastAsia="en-US"/>
              </w:rPr>
              <w:t>Az éves ellenőrzési jelentés az alábbiakat tartalmazza:</w:t>
            </w:r>
          </w:p>
          <w:p w:rsidR="003B75B7" w:rsidRPr="00F67268" w:rsidRDefault="003B75B7" w:rsidP="003B75B7">
            <w:pPr>
              <w:jc w:val="both"/>
              <w:rPr>
                <w:rFonts w:eastAsia="Calibri"/>
                <w:lang w:eastAsia="en-US"/>
              </w:rPr>
            </w:pPr>
            <w:r w:rsidRPr="00F67268">
              <w:rPr>
                <w:rFonts w:eastAsia="Calibri"/>
                <w:i/>
                <w:iCs/>
                <w:lang w:eastAsia="en-US"/>
              </w:rPr>
              <w:t xml:space="preserve">a) </w:t>
            </w:r>
            <w:proofErr w:type="spellStart"/>
            <w:r w:rsidRPr="00F67268">
              <w:rPr>
                <w:rFonts w:eastAsia="Calibri"/>
                <w:lang w:eastAsia="en-US"/>
              </w:rPr>
              <w:t>a</w:t>
            </w:r>
            <w:proofErr w:type="spellEnd"/>
            <w:r w:rsidRPr="00F67268">
              <w:rPr>
                <w:rFonts w:eastAsia="Calibri"/>
                <w:lang w:eastAsia="en-US"/>
              </w:rPr>
              <w:t xml:space="preserve"> belső ellenőrzés által végzett tevékenység bemutatása önértékelés alapján az alábbiak szerint:</w:t>
            </w:r>
          </w:p>
          <w:p w:rsidR="003B75B7" w:rsidRPr="00F67268" w:rsidRDefault="003B75B7" w:rsidP="003B75B7">
            <w:pPr>
              <w:jc w:val="both"/>
              <w:rPr>
                <w:rFonts w:eastAsia="Calibri"/>
                <w:lang w:eastAsia="en-US"/>
              </w:rPr>
            </w:pPr>
            <w:proofErr w:type="spellStart"/>
            <w:r w:rsidRPr="00F67268">
              <w:rPr>
                <w:rFonts w:eastAsia="Calibri"/>
                <w:i/>
                <w:iCs/>
                <w:lang w:eastAsia="en-US"/>
              </w:rPr>
              <w:t>aa</w:t>
            </w:r>
            <w:proofErr w:type="spellEnd"/>
            <w:r w:rsidRPr="00F67268">
              <w:rPr>
                <w:rFonts w:eastAsia="Calibri"/>
                <w:i/>
                <w:iCs/>
                <w:lang w:eastAsia="en-US"/>
              </w:rPr>
              <w:t xml:space="preserve">) </w:t>
            </w:r>
            <w:r w:rsidRPr="00F67268">
              <w:rPr>
                <w:rFonts w:eastAsia="Calibri"/>
                <w:lang w:eastAsia="en-US"/>
              </w:rPr>
              <w:t>az éves ellenőrzési tervben foglalt feladatok teljesítésének értékelése;</w:t>
            </w:r>
          </w:p>
          <w:p w:rsidR="003B75B7" w:rsidRPr="00F67268" w:rsidRDefault="003B75B7" w:rsidP="003B75B7">
            <w:pPr>
              <w:jc w:val="both"/>
              <w:rPr>
                <w:rFonts w:eastAsia="Calibri"/>
                <w:lang w:eastAsia="en-US"/>
              </w:rPr>
            </w:pPr>
            <w:r w:rsidRPr="00F67268">
              <w:rPr>
                <w:rFonts w:eastAsia="Calibri"/>
                <w:i/>
                <w:iCs/>
                <w:lang w:eastAsia="en-US"/>
              </w:rPr>
              <w:t xml:space="preserve">ab) </w:t>
            </w:r>
            <w:r w:rsidRPr="00F67268">
              <w:rPr>
                <w:rFonts w:eastAsia="Calibri"/>
                <w:lang w:eastAsia="en-US"/>
              </w:rPr>
              <w:t>a bizonyosságot adó tevékenységet elősegítő és akadályozó tényezők bemutatása;</w:t>
            </w:r>
          </w:p>
          <w:p w:rsidR="003B75B7" w:rsidRPr="00F67268" w:rsidRDefault="003B75B7" w:rsidP="003B75B7">
            <w:pPr>
              <w:jc w:val="both"/>
              <w:rPr>
                <w:rFonts w:eastAsia="Calibri"/>
                <w:lang w:eastAsia="en-US"/>
              </w:rPr>
            </w:pPr>
            <w:proofErr w:type="spellStart"/>
            <w:r w:rsidRPr="00F67268">
              <w:rPr>
                <w:rFonts w:eastAsia="Calibri"/>
                <w:i/>
                <w:iCs/>
                <w:lang w:eastAsia="en-US"/>
              </w:rPr>
              <w:t>ac</w:t>
            </w:r>
            <w:proofErr w:type="spellEnd"/>
            <w:r w:rsidRPr="00F67268">
              <w:rPr>
                <w:rFonts w:eastAsia="Calibri"/>
                <w:i/>
                <w:iCs/>
                <w:lang w:eastAsia="en-US"/>
              </w:rPr>
              <w:t xml:space="preserve">) </w:t>
            </w:r>
            <w:r w:rsidRPr="00F67268">
              <w:rPr>
                <w:rFonts w:eastAsia="Calibri"/>
                <w:lang w:eastAsia="en-US"/>
              </w:rPr>
              <w:t>a tanácsadó tevékenység bemutatása;</w:t>
            </w:r>
          </w:p>
          <w:p w:rsidR="003B75B7" w:rsidRPr="00F67268" w:rsidRDefault="003B75B7" w:rsidP="003B75B7">
            <w:pPr>
              <w:jc w:val="both"/>
              <w:rPr>
                <w:rFonts w:eastAsia="Calibri"/>
                <w:lang w:eastAsia="en-US"/>
              </w:rPr>
            </w:pPr>
            <w:r w:rsidRPr="00F67268">
              <w:rPr>
                <w:rFonts w:eastAsia="Calibri"/>
                <w:i/>
                <w:iCs/>
                <w:lang w:eastAsia="en-US"/>
              </w:rPr>
              <w:t xml:space="preserve">b) </w:t>
            </w:r>
            <w:r w:rsidRPr="00F67268">
              <w:rPr>
                <w:rFonts w:eastAsia="Calibri"/>
                <w:lang w:eastAsia="en-US"/>
              </w:rPr>
              <w:t>a belső kontrollrendszer működésének értékelése ellenőrzési tapasztalatok alapján az alábbiak szerint:</w:t>
            </w:r>
          </w:p>
          <w:p w:rsidR="003B75B7" w:rsidRPr="00F67268" w:rsidRDefault="003B75B7" w:rsidP="003B75B7">
            <w:pPr>
              <w:jc w:val="both"/>
              <w:rPr>
                <w:rFonts w:eastAsia="Calibri"/>
                <w:lang w:eastAsia="en-US"/>
              </w:rPr>
            </w:pPr>
            <w:proofErr w:type="spellStart"/>
            <w:r w:rsidRPr="00F67268">
              <w:rPr>
                <w:rFonts w:eastAsia="Calibri"/>
                <w:i/>
                <w:iCs/>
                <w:lang w:eastAsia="en-US"/>
              </w:rPr>
              <w:t>ba</w:t>
            </w:r>
            <w:proofErr w:type="spellEnd"/>
            <w:r w:rsidRPr="00F67268">
              <w:rPr>
                <w:rFonts w:eastAsia="Calibri"/>
                <w:i/>
                <w:iCs/>
                <w:lang w:eastAsia="en-US"/>
              </w:rPr>
              <w:t xml:space="preserve">) </w:t>
            </w:r>
            <w:r w:rsidRPr="00F67268">
              <w:rPr>
                <w:rFonts w:eastAsia="Calibri"/>
                <w:lang w:eastAsia="en-US"/>
              </w:rPr>
              <w:t>a belső kontrollrendszer szabályszerűségének, gazdaságosságának, hatékonyságának és eredményességének növelése, javítása érdekében tett fontosabb javaslatok;</w:t>
            </w:r>
          </w:p>
          <w:p w:rsidR="003B75B7" w:rsidRPr="00F67268" w:rsidRDefault="003B75B7" w:rsidP="003B75B7">
            <w:pPr>
              <w:jc w:val="both"/>
              <w:rPr>
                <w:rFonts w:eastAsia="Calibri"/>
                <w:lang w:eastAsia="en-US"/>
              </w:rPr>
            </w:pPr>
            <w:proofErr w:type="spellStart"/>
            <w:r w:rsidRPr="00F67268">
              <w:rPr>
                <w:rFonts w:eastAsia="Calibri"/>
                <w:i/>
                <w:iCs/>
                <w:lang w:eastAsia="en-US"/>
              </w:rPr>
              <w:t>bb</w:t>
            </w:r>
            <w:proofErr w:type="spellEnd"/>
            <w:r w:rsidRPr="00F67268">
              <w:rPr>
                <w:rFonts w:eastAsia="Calibri"/>
                <w:i/>
                <w:iCs/>
                <w:lang w:eastAsia="en-US"/>
              </w:rPr>
              <w:t xml:space="preserve">) </w:t>
            </w:r>
            <w:r w:rsidRPr="00F67268">
              <w:rPr>
                <w:rFonts w:eastAsia="Calibri"/>
                <w:lang w:eastAsia="en-US"/>
              </w:rPr>
              <w:t>a belső kontrollrendszer öt elemének értékelése;</w:t>
            </w:r>
          </w:p>
          <w:p w:rsidR="003B75B7" w:rsidRPr="00F67268" w:rsidRDefault="003B75B7" w:rsidP="003B75B7">
            <w:pPr>
              <w:jc w:val="both"/>
              <w:rPr>
                <w:rFonts w:eastAsia="Calibri"/>
                <w:lang w:eastAsia="en-US"/>
              </w:rPr>
            </w:pPr>
            <w:r w:rsidRPr="00F67268">
              <w:rPr>
                <w:rFonts w:eastAsia="Calibri"/>
                <w:i/>
                <w:iCs/>
                <w:lang w:eastAsia="en-US"/>
              </w:rPr>
              <w:t xml:space="preserve">c) </w:t>
            </w:r>
            <w:r w:rsidRPr="00F67268">
              <w:rPr>
                <w:rFonts w:eastAsia="Calibri"/>
                <w:lang w:eastAsia="en-US"/>
              </w:rPr>
              <w:t>az intézkedési tervek megvalósítása.</w:t>
            </w:r>
          </w:p>
        </w:tc>
      </w:tr>
      <w:tr w:rsidR="00747307" w:rsidRPr="00F67268" w:rsidTr="007A557E">
        <w:tc>
          <w:tcPr>
            <w:tcW w:w="158" w:type="pct"/>
          </w:tcPr>
          <w:p w:rsidR="00747307" w:rsidRPr="00F67268" w:rsidRDefault="00747307" w:rsidP="00300A08">
            <w:pPr>
              <w:rPr>
                <w:rFonts w:eastAsia="Calibri"/>
                <w:b/>
                <w:lang w:eastAsia="en-US"/>
              </w:rPr>
            </w:pPr>
            <w:r w:rsidRPr="00F67268">
              <w:rPr>
                <w:rFonts w:eastAsia="Calibri"/>
                <w:b/>
                <w:lang w:eastAsia="en-US"/>
              </w:rPr>
              <w:t>I.</w:t>
            </w:r>
          </w:p>
        </w:tc>
        <w:tc>
          <w:tcPr>
            <w:tcW w:w="231" w:type="pct"/>
            <w:gridSpan w:val="2"/>
          </w:tcPr>
          <w:p w:rsidR="00747307" w:rsidRPr="00F67268" w:rsidRDefault="00747307" w:rsidP="00300A08">
            <w:pPr>
              <w:rPr>
                <w:rFonts w:eastAsia="Calibri"/>
                <w:b/>
                <w:lang w:eastAsia="en-US"/>
              </w:rPr>
            </w:pPr>
          </w:p>
        </w:tc>
        <w:tc>
          <w:tcPr>
            <w:tcW w:w="261" w:type="pct"/>
            <w:gridSpan w:val="3"/>
          </w:tcPr>
          <w:p w:rsidR="00747307" w:rsidRPr="00F67268" w:rsidRDefault="00747307" w:rsidP="00300A08">
            <w:pPr>
              <w:rPr>
                <w:rFonts w:eastAsia="Calibri"/>
                <w:b/>
                <w:color w:val="4F81BD"/>
                <w:lang w:eastAsia="en-US"/>
              </w:rPr>
            </w:pPr>
          </w:p>
        </w:tc>
        <w:tc>
          <w:tcPr>
            <w:tcW w:w="806" w:type="pct"/>
            <w:gridSpan w:val="3"/>
          </w:tcPr>
          <w:p w:rsidR="00747307" w:rsidRPr="00F67268" w:rsidRDefault="00747307" w:rsidP="00300A08">
            <w:pPr>
              <w:rPr>
                <w:rFonts w:eastAsia="Calibri"/>
                <w:color w:val="4F81BD"/>
                <w:lang w:eastAsia="en-US"/>
              </w:rPr>
            </w:pPr>
            <w:r w:rsidRPr="00F67268">
              <w:rPr>
                <w:rFonts w:eastAsia="Calibri"/>
                <w:b/>
                <w:color w:val="4F81BD"/>
                <w:lang w:eastAsia="en-US"/>
              </w:rPr>
              <w:t>A belső ellenőrzés által végzett tevékenység bemutatása önértékelés alapján (Bkr. 48. §. a) pont)</w:t>
            </w:r>
          </w:p>
        </w:tc>
        <w:tc>
          <w:tcPr>
            <w:tcW w:w="3544" w:type="pct"/>
          </w:tcPr>
          <w:p w:rsidR="00747307" w:rsidRPr="00F67268" w:rsidRDefault="00C63CAD" w:rsidP="000B0203">
            <w:pPr>
              <w:jc w:val="both"/>
              <w:rPr>
                <w:rFonts w:eastAsia="Calibri"/>
                <w:lang w:eastAsia="en-US"/>
              </w:rPr>
            </w:pPr>
            <w:r>
              <w:rPr>
                <w:rFonts w:eastAsia="Calibri"/>
                <w:lang w:eastAsia="en-US"/>
              </w:rPr>
              <w:t xml:space="preserve">Az intézmény </w:t>
            </w:r>
            <w:r w:rsidR="00747307" w:rsidRPr="00F67268">
              <w:rPr>
                <w:rFonts w:eastAsia="Calibri"/>
                <w:lang w:eastAsia="en-US"/>
              </w:rPr>
              <w:t>201</w:t>
            </w:r>
            <w:r w:rsidR="00BC62DC">
              <w:rPr>
                <w:rFonts w:eastAsia="Calibri"/>
                <w:lang w:eastAsia="en-US"/>
              </w:rPr>
              <w:t>7</w:t>
            </w:r>
            <w:r w:rsidR="00747307" w:rsidRPr="00F67268">
              <w:rPr>
                <w:rFonts w:eastAsia="Calibri"/>
                <w:lang w:eastAsia="en-US"/>
              </w:rPr>
              <w:t>. évi ellenőrzését KMJV Polgármesteri Hivatal</w:t>
            </w:r>
            <w:r w:rsidR="003D3A7E">
              <w:rPr>
                <w:rFonts w:eastAsia="Calibri"/>
                <w:lang w:eastAsia="en-US"/>
              </w:rPr>
              <w:t>ának</w:t>
            </w:r>
            <w:r w:rsidR="005B0B73" w:rsidRPr="00F67268">
              <w:rPr>
                <w:rFonts w:eastAsia="Calibri"/>
                <w:lang w:eastAsia="en-US"/>
              </w:rPr>
              <w:t xml:space="preserve"> Ellenőrzési Irodá</w:t>
            </w:r>
            <w:r w:rsidR="00747307" w:rsidRPr="00F67268">
              <w:rPr>
                <w:rFonts w:eastAsia="Calibri"/>
                <w:lang w:eastAsia="en-US"/>
              </w:rPr>
              <w:t>ja látta el.</w:t>
            </w:r>
          </w:p>
        </w:tc>
      </w:tr>
      <w:tr w:rsidR="003B75B7" w:rsidRPr="00F67268" w:rsidTr="007A557E">
        <w:tc>
          <w:tcPr>
            <w:tcW w:w="158" w:type="pct"/>
          </w:tcPr>
          <w:p w:rsidR="003B75B7" w:rsidRPr="00F67268" w:rsidRDefault="003B75B7" w:rsidP="00300A08">
            <w:pPr>
              <w:rPr>
                <w:rFonts w:eastAsia="Calibri"/>
                <w:b/>
                <w:lang w:eastAsia="en-US"/>
              </w:rPr>
            </w:pPr>
          </w:p>
        </w:tc>
        <w:tc>
          <w:tcPr>
            <w:tcW w:w="231" w:type="pct"/>
            <w:gridSpan w:val="2"/>
          </w:tcPr>
          <w:p w:rsidR="003B75B7" w:rsidRPr="00F67268" w:rsidRDefault="003B75B7" w:rsidP="00300A08">
            <w:pPr>
              <w:rPr>
                <w:rFonts w:eastAsia="Calibri"/>
                <w:b/>
                <w:lang w:eastAsia="en-US"/>
              </w:rPr>
            </w:pPr>
            <w:r w:rsidRPr="00F67268">
              <w:rPr>
                <w:rFonts w:eastAsia="Calibri"/>
                <w:b/>
                <w:lang w:eastAsia="en-US"/>
              </w:rPr>
              <w:t>I/1.</w:t>
            </w:r>
          </w:p>
        </w:tc>
        <w:tc>
          <w:tcPr>
            <w:tcW w:w="261" w:type="pct"/>
            <w:gridSpan w:val="3"/>
          </w:tcPr>
          <w:p w:rsidR="003B75B7" w:rsidRPr="00F67268" w:rsidRDefault="003B75B7" w:rsidP="00300A08">
            <w:pPr>
              <w:rPr>
                <w:rFonts w:eastAsia="Calibri"/>
                <w:b/>
                <w:lang w:eastAsia="en-US"/>
              </w:rPr>
            </w:pPr>
          </w:p>
        </w:tc>
        <w:tc>
          <w:tcPr>
            <w:tcW w:w="806" w:type="pct"/>
            <w:gridSpan w:val="3"/>
          </w:tcPr>
          <w:p w:rsidR="003B75B7" w:rsidRPr="00F67268" w:rsidRDefault="003B75B7" w:rsidP="00956648">
            <w:pPr>
              <w:rPr>
                <w:rFonts w:eastAsia="Calibri"/>
                <w:lang w:eastAsia="en-US"/>
              </w:rPr>
            </w:pPr>
            <w:r w:rsidRPr="00F67268">
              <w:rPr>
                <w:rFonts w:eastAsia="Calibri"/>
                <w:b/>
                <w:lang w:eastAsia="en-US"/>
              </w:rPr>
              <w:t xml:space="preserve">Az éves ellenőrzési tervben foglalt feladatok teljesítésének értékelése (Bkr. 48. § </w:t>
            </w:r>
            <w:proofErr w:type="spellStart"/>
            <w:r w:rsidRPr="00F67268">
              <w:rPr>
                <w:rFonts w:eastAsia="Calibri"/>
                <w:b/>
                <w:lang w:eastAsia="en-US"/>
              </w:rPr>
              <w:t>aa</w:t>
            </w:r>
            <w:proofErr w:type="spellEnd"/>
            <w:r w:rsidRPr="00F67268">
              <w:rPr>
                <w:rFonts w:eastAsia="Calibri"/>
                <w:b/>
                <w:lang w:eastAsia="en-US"/>
              </w:rPr>
              <w:t>) pont)</w:t>
            </w:r>
          </w:p>
        </w:tc>
        <w:tc>
          <w:tcPr>
            <w:tcW w:w="3544" w:type="pct"/>
          </w:tcPr>
          <w:p w:rsidR="003B75B7" w:rsidRPr="00F67268" w:rsidRDefault="003B75B7" w:rsidP="00300A08">
            <w:pPr>
              <w:rPr>
                <w:rFonts w:eastAsia="Calibri"/>
                <w:lang w:eastAsia="en-US"/>
              </w:rPr>
            </w:pPr>
          </w:p>
        </w:tc>
      </w:tr>
      <w:tr w:rsidR="003B75B7" w:rsidRPr="00F67268" w:rsidTr="007A557E">
        <w:trPr>
          <w:trHeight w:val="3543"/>
        </w:trPr>
        <w:tc>
          <w:tcPr>
            <w:tcW w:w="158" w:type="pct"/>
          </w:tcPr>
          <w:p w:rsidR="003B75B7" w:rsidRPr="00F67268" w:rsidRDefault="003B75B7" w:rsidP="00300A08">
            <w:pPr>
              <w:rPr>
                <w:rFonts w:eastAsia="Calibri"/>
                <w:lang w:eastAsia="en-US"/>
              </w:rPr>
            </w:pPr>
          </w:p>
        </w:tc>
        <w:tc>
          <w:tcPr>
            <w:tcW w:w="231" w:type="pct"/>
            <w:gridSpan w:val="2"/>
          </w:tcPr>
          <w:p w:rsidR="003B75B7" w:rsidRPr="00F67268" w:rsidRDefault="003B75B7" w:rsidP="00300A08">
            <w:pPr>
              <w:rPr>
                <w:rFonts w:eastAsia="Calibri"/>
                <w:lang w:eastAsia="en-US"/>
              </w:rPr>
            </w:pPr>
          </w:p>
        </w:tc>
        <w:tc>
          <w:tcPr>
            <w:tcW w:w="261" w:type="pct"/>
            <w:gridSpan w:val="3"/>
          </w:tcPr>
          <w:p w:rsidR="003B75B7" w:rsidRPr="00F67268" w:rsidRDefault="003B75B7" w:rsidP="00300A08">
            <w:pPr>
              <w:rPr>
                <w:rFonts w:eastAsia="Calibri"/>
                <w:i/>
                <w:u w:val="single"/>
                <w:lang w:eastAsia="en-US"/>
              </w:rPr>
            </w:pPr>
            <w:r w:rsidRPr="00F67268">
              <w:rPr>
                <w:rFonts w:eastAsia="Calibri"/>
                <w:i/>
                <w:u w:val="single"/>
                <w:lang w:eastAsia="en-US"/>
              </w:rPr>
              <w:t>I/1/a)</w:t>
            </w:r>
          </w:p>
        </w:tc>
        <w:tc>
          <w:tcPr>
            <w:tcW w:w="806" w:type="pct"/>
            <w:gridSpan w:val="3"/>
          </w:tcPr>
          <w:p w:rsidR="003B75B7" w:rsidRPr="00F67268" w:rsidRDefault="003B75B7" w:rsidP="00300A08">
            <w:pPr>
              <w:rPr>
                <w:rFonts w:eastAsia="Calibri"/>
                <w:lang w:eastAsia="en-US"/>
              </w:rPr>
            </w:pPr>
            <w:r w:rsidRPr="00F67268">
              <w:rPr>
                <w:rFonts w:eastAsia="Calibri"/>
                <w:i/>
                <w:u w:val="single"/>
                <w:lang w:eastAsia="en-US"/>
              </w:rPr>
              <w:t>A tárgyévre vonatkozó éves ellenőrzési terv teljesítése, az ellenőrzések összesítése</w:t>
            </w:r>
          </w:p>
        </w:tc>
        <w:tc>
          <w:tcPr>
            <w:tcW w:w="3544" w:type="pct"/>
          </w:tcPr>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3"/>
              <w:gridCol w:w="3589"/>
              <w:gridCol w:w="4167"/>
            </w:tblGrid>
            <w:tr w:rsidR="003B75B7" w:rsidRPr="00F67268" w:rsidTr="000B0203">
              <w:tc>
                <w:tcPr>
                  <w:tcW w:w="2193" w:type="dxa"/>
                  <w:shd w:val="clear" w:color="auto" w:fill="D9D9D9"/>
                </w:tcPr>
                <w:p w:rsidR="003B75B7" w:rsidRPr="00F67268" w:rsidRDefault="003B75B7" w:rsidP="00300A08">
                  <w:pPr>
                    <w:rPr>
                      <w:rFonts w:eastAsia="Calibri"/>
                      <w:i/>
                      <w:lang w:eastAsia="en-US"/>
                    </w:rPr>
                  </w:pPr>
                  <w:r w:rsidRPr="00F67268">
                    <w:rPr>
                      <w:rFonts w:eastAsia="Calibri"/>
                      <w:i/>
                      <w:lang w:eastAsia="en-US"/>
                    </w:rPr>
                    <w:t>Tárgy</w:t>
                  </w:r>
                </w:p>
              </w:tc>
              <w:tc>
                <w:tcPr>
                  <w:tcW w:w="3589" w:type="dxa"/>
                  <w:shd w:val="clear" w:color="auto" w:fill="D9D9D9"/>
                </w:tcPr>
                <w:p w:rsidR="003B75B7" w:rsidRPr="00F67268" w:rsidRDefault="003B75B7" w:rsidP="00300A08">
                  <w:pPr>
                    <w:rPr>
                      <w:rFonts w:eastAsia="Calibri"/>
                      <w:lang w:eastAsia="en-US"/>
                    </w:rPr>
                  </w:pPr>
                  <w:r w:rsidRPr="00F67268">
                    <w:rPr>
                      <w:rFonts w:eastAsia="Calibri"/>
                      <w:i/>
                      <w:lang w:eastAsia="en-US"/>
                    </w:rPr>
                    <w:t>Cél</w:t>
                  </w:r>
                </w:p>
              </w:tc>
              <w:tc>
                <w:tcPr>
                  <w:tcW w:w="4167" w:type="dxa"/>
                  <w:shd w:val="clear" w:color="auto" w:fill="D9D9D9"/>
                </w:tcPr>
                <w:p w:rsidR="003B75B7" w:rsidRPr="00F67268" w:rsidRDefault="003B75B7" w:rsidP="00300A08">
                  <w:pPr>
                    <w:rPr>
                      <w:rFonts w:eastAsia="Calibri"/>
                      <w:lang w:eastAsia="en-US"/>
                    </w:rPr>
                  </w:pPr>
                  <w:r w:rsidRPr="00F67268">
                    <w:rPr>
                      <w:rFonts w:eastAsia="Calibri"/>
                      <w:i/>
                      <w:lang w:eastAsia="en-US"/>
                    </w:rPr>
                    <w:t>Módszer</w:t>
                  </w:r>
                </w:p>
              </w:tc>
            </w:tr>
            <w:tr w:rsidR="000B0203" w:rsidRPr="00F67268" w:rsidTr="000B0203">
              <w:tc>
                <w:tcPr>
                  <w:tcW w:w="9949" w:type="dxa"/>
                  <w:gridSpan w:val="3"/>
                </w:tcPr>
                <w:p w:rsidR="000B0203" w:rsidRPr="000B0203" w:rsidRDefault="000B0203" w:rsidP="00956648">
                  <w:pPr>
                    <w:rPr>
                      <w:rFonts w:eastAsia="Calibri"/>
                      <w:b/>
                      <w:sz w:val="20"/>
                      <w:szCs w:val="20"/>
                      <w:lang w:eastAsia="en-US"/>
                    </w:rPr>
                  </w:pPr>
                  <w:r w:rsidRPr="000B0203">
                    <w:rPr>
                      <w:rFonts w:eastAsia="Calibri"/>
                      <w:b/>
                      <w:sz w:val="20"/>
                      <w:szCs w:val="20"/>
                      <w:lang w:eastAsia="en-US"/>
                    </w:rPr>
                    <w:t>Belső ellenőrzések:</w:t>
                  </w:r>
                </w:p>
              </w:tc>
            </w:tr>
            <w:tr w:rsidR="000B0203" w:rsidRPr="00F67268" w:rsidTr="000B0203">
              <w:tc>
                <w:tcPr>
                  <w:tcW w:w="2193" w:type="dxa"/>
                </w:tcPr>
                <w:p w:rsidR="000B0203" w:rsidRPr="00956648" w:rsidRDefault="00E234D3" w:rsidP="00956648">
                  <w:pPr>
                    <w:jc w:val="both"/>
                    <w:rPr>
                      <w:rFonts w:eastAsia="Calibri"/>
                      <w:sz w:val="20"/>
                      <w:szCs w:val="20"/>
                      <w:lang w:eastAsia="en-US"/>
                    </w:rPr>
                  </w:pPr>
                  <w:r>
                    <w:rPr>
                      <w:rFonts w:eastAsia="Calibri"/>
                      <w:sz w:val="20"/>
                      <w:szCs w:val="20"/>
                      <w:lang w:eastAsia="en-US"/>
                    </w:rPr>
                    <w:t xml:space="preserve">* </w:t>
                  </w:r>
                  <w:r w:rsidR="008526C8">
                    <w:rPr>
                      <w:rFonts w:eastAsia="Calibri"/>
                      <w:sz w:val="20"/>
                      <w:szCs w:val="20"/>
                      <w:lang w:eastAsia="en-US"/>
                    </w:rPr>
                    <w:t>Gazdálkodási jogkörök gyakorlásának</w:t>
                  </w:r>
                  <w:r w:rsidR="000B0203">
                    <w:rPr>
                      <w:rFonts w:eastAsia="Calibri"/>
                      <w:sz w:val="20"/>
                      <w:szCs w:val="20"/>
                      <w:lang w:eastAsia="en-US"/>
                    </w:rPr>
                    <w:t xml:space="preserve"> vizsgálata</w:t>
                  </w:r>
                </w:p>
              </w:tc>
              <w:tc>
                <w:tcPr>
                  <w:tcW w:w="3589" w:type="dxa"/>
                </w:tcPr>
                <w:p w:rsidR="000B0203" w:rsidRPr="00956648" w:rsidRDefault="000B0203" w:rsidP="008526C8">
                  <w:pPr>
                    <w:jc w:val="both"/>
                    <w:rPr>
                      <w:rFonts w:eastAsia="Calibri"/>
                      <w:sz w:val="20"/>
                      <w:szCs w:val="20"/>
                      <w:lang w:eastAsia="en-US"/>
                    </w:rPr>
                  </w:pPr>
                  <w:r>
                    <w:rPr>
                      <w:sz w:val="20"/>
                      <w:szCs w:val="20"/>
                    </w:rPr>
                    <w:t xml:space="preserve">Annak </w:t>
                  </w:r>
                  <w:r w:rsidR="008526C8">
                    <w:rPr>
                      <w:sz w:val="20"/>
                      <w:szCs w:val="20"/>
                    </w:rPr>
                    <w:t>megállapítása, hogy a gazdálkodási jogköröket az arra jogosultak gyakorolták-e.</w:t>
                  </w:r>
                </w:p>
              </w:tc>
              <w:tc>
                <w:tcPr>
                  <w:tcW w:w="4167" w:type="dxa"/>
                </w:tcPr>
                <w:p w:rsidR="000B0203" w:rsidRPr="00956648" w:rsidRDefault="000B0203" w:rsidP="00956648">
                  <w:pPr>
                    <w:rPr>
                      <w:rFonts w:eastAsia="Calibri"/>
                      <w:sz w:val="20"/>
                      <w:szCs w:val="20"/>
                      <w:lang w:eastAsia="en-US"/>
                    </w:rPr>
                  </w:pPr>
                  <w:r w:rsidRPr="00956648">
                    <w:rPr>
                      <w:rFonts w:eastAsia="Calibri"/>
                      <w:sz w:val="20"/>
                      <w:szCs w:val="20"/>
                      <w:lang w:eastAsia="en-US"/>
                    </w:rPr>
                    <w:t>Dokumentumok és nyilvántartások vizsgálata.</w:t>
                  </w:r>
                </w:p>
              </w:tc>
            </w:tr>
            <w:tr w:rsidR="000B0203" w:rsidRPr="00F67268" w:rsidTr="000B0203">
              <w:tc>
                <w:tcPr>
                  <w:tcW w:w="9949" w:type="dxa"/>
                  <w:gridSpan w:val="3"/>
                </w:tcPr>
                <w:p w:rsidR="000B0203" w:rsidRPr="000B0203" w:rsidRDefault="000B0203" w:rsidP="00956648">
                  <w:pPr>
                    <w:rPr>
                      <w:rFonts w:eastAsia="Calibri"/>
                      <w:b/>
                      <w:sz w:val="20"/>
                      <w:szCs w:val="20"/>
                      <w:lang w:eastAsia="en-US"/>
                    </w:rPr>
                  </w:pPr>
                  <w:r w:rsidRPr="000B0203">
                    <w:rPr>
                      <w:rFonts w:eastAsia="Calibri"/>
                      <w:b/>
                      <w:sz w:val="20"/>
                      <w:szCs w:val="20"/>
                      <w:lang w:eastAsia="en-US"/>
                    </w:rPr>
                    <w:t>Irányító szervként végzett ellenőrzések:</w:t>
                  </w:r>
                </w:p>
              </w:tc>
            </w:tr>
            <w:tr w:rsidR="00A2066F" w:rsidRPr="00F67268" w:rsidTr="000B0203">
              <w:tc>
                <w:tcPr>
                  <w:tcW w:w="2193" w:type="dxa"/>
                </w:tcPr>
                <w:p w:rsidR="00A2066F" w:rsidRPr="00956648" w:rsidRDefault="00E234D3" w:rsidP="00956648">
                  <w:pPr>
                    <w:jc w:val="both"/>
                    <w:rPr>
                      <w:rFonts w:eastAsia="Calibri"/>
                      <w:sz w:val="20"/>
                      <w:szCs w:val="20"/>
                      <w:lang w:eastAsia="en-US"/>
                    </w:rPr>
                  </w:pPr>
                  <w:r>
                    <w:rPr>
                      <w:rFonts w:eastAsia="Calibri"/>
                      <w:sz w:val="20"/>
                      <w:szCs w:val="20"/>
                      <w:lang w:eastAsia="en-US"/>
                    </w:rPr>
                    <w:t xml:space="preserve">* </w:t>
                  </w:r>
                  <w:r w:rsidR="003470AE">
                    <w:rPr>
                      <w:rFonts w:eastAsia="Calibri"/>
                      <w:sz w:val="20"/>
                      <w:szCs w:val="20"/>
                      <w:lang w:eastAsia="en-US"/>
                    </w:rPr>
                    <w:t>A 2016</w:t>
                  </w:r>
                  <w:r w:rsidR="00A2066F" w:rsidRPr="00956648">
                    <w:rPr>
                      <w:rFonts w:eastAsia="Calibri"/>
                      <w:sz w:val="20"/>
                      <w:szCs w:val="20"/>
                      <w:lang w:eastAsia="en-US"/>
                    </w:rPr>
                    <w:t>. évi pénzmaradvány vizsgálata</w:t>
                  </w:r>
                </w:p>
              </w:tc>
              <w:tc>
                <w:tcPr>
                  <w:tcW w:w="3589" w:type="dxa"/>
                </w:tcPr>
                <w:p w:rsidR="00A2066F" w:rsidRPr="00956648" w:rsidRDefault="00A2066F" w:rsidP="00956648">
                  <w:pPr>
                    <w:rPr>
                      <w:rFonts w:eastAsia="Calibri"/>
                      <w:sz w:val="20"/>
                      <w:szCs w:val="20"/>
                      <w:lang w:eastAsia="en-US"/>
                    </w:rPr>
                  </w:pPr>
                  <w:r w:rsidRPr="00956648">
                    <w:rPr>
                      <w:rFonts w:eastAsia="Calibri"/>
                      <w:sz w:val="20"/>
                      <w:szCs w:val="20"/>
                      <w:lang w:eastAsia="en-US"/>
                    </w:rPr>
                    <w:t>Kimutatni az elvonható pénzmaradványt.</w:t>
                  </w:r>
                </w:p>
              </w:tc>
              <w:tc>
                <w:tcPr>
                  <w:tcW w:w="4167" w:type="dxa"/>
                </w:tcPr>
                <w:p w:rsidR="00A2066F" w:rsidRPr="00956648" w:rsidRDefault="00A2066F" w:rsidP="00956648">
                  <w:pPr>
                    <w:rPr>
                      <w:rFonts w:eastAsia="Calibri"/>
                      <w:sz w:val="20"/>
                      <w:szCs w:val="20"/>
                      <w:lang w:eastAsia="en-US"/>
                    </w:rPr>
                  </w:pPr>
                  <w:r w:rsidRPr="00956648">
                    <w:rPr>
                      <w:rFonts w:eastAsia="Calibri"/>
                      <w:sz w:val="20"/>
                      <w:szCs w:val="20"/>
                      <w:lang w:eastAsia="en-US"/>
                    </w:rPr>
                    <w:t>Dokumentumok és nyilvántartások vizsgálata.</w:t>
                  </w:r>
                </w:p>
              </w:tc>
            </w:tr>
            <w:tr w:rsidR="00E234D3" w:rsidRPr="00F67268" w:rsidTr="000B0203">
              <w:tc>
                <w:tcPr>
                  <w:tcW w:w="2193" w:type="dxa"/>
                </w:tcPr>
                <w:p w:rsidR="00E234D3" w:rsidRDefault="00E234D3" w:rsidP="0008073C">
                  <w:pPr>
                    <w:jc w:val="both"/>
                    <w:rPr>
                      <w:rFonts w:eastAsia="Calibri"/>
                      <w:sz w:val="20"/>
                      <w:szCs w:val="20"/>
                      <w:lang w:eastAsia="en-US"/>
                    </w:rPr>
                  </w:pPr>
                  <w:r>
                    <w:rPr>
                      <w:rFonts w:eastAsia="Calibri"/>
                      <w:sz w:val="20"/>
                      <w:szCs w:val="20"/>
                      <w:lang w:eastAsia="en-US"/>
                    </w:rPr>
                    <w:t xml:space="preserve">** A </w:t>
                  </w:r>
                  <w:r w:rsidR="0008073C">
                    <w:rPr>
                      <w:rFonts w:eastAsia="Calibri"/>
                      <w:sz w:val="20"/>
                      <w:szCs w:val="20"/>
                      <w:lang w:eastAsia="en-US"/>
                    </w:rPr>
                    <w:t>régészeti tevékenység eredményességének vizsgálata</w:t>
                  </w:r>
                </w:p>
              </w:tc>
              <w:tc>
                <w:tcPr>
                  <w:tcW w:w="3589" w:type="dxa"/>
                </w:tcPr>
                <w:p w:rsidR="00E234D3" w:rsidRPr="00956648" w:rsidRDefault="0008073C" w:rsidP="00956648">
                  <w:pPr>
                    <w:rPr>
                      <w:rFonts w:eastAsia="Calibri"/>
                      <w:sz w:val="20"/>
                      <w:szCs w:val="20"/>
                      <w:lang w:eastAsia="en-US"/>
                    </w:rPr>
                  </w:pPr>
                  <w:r>
                    <w:rPr>
                      <w:rFonts w:eastAsia="Calibri"/>
                      <w:sz w:val="20"/>
                      <w:szCs w:val="20"/>
                      <w:lang w:eastAsia="en-US"/>
                    </w:rPr>
                    <w:t>Kimutatni a régészeti tevékenység bevételének és kiadásának különbözetét.</w:t>
                  </w:r>
                </w:p>
              </w:tc>
              <w:tc>
                <w:tcPr>
                  <w:tcW w:w="4167" w:type="dxa"/>
                </w:tcPr>
                <w:p w:rsidR="00E234D3" w:rsidRPr="00956648" w:rsidRDefault="00E234D3" w:rsidP="00956648">
                  <w:pPr>
                    <w:rPr>
                      <w:rFonts w:eastAsia="Calibri"/>
                      <w:sz w:val="20"/>
                      <w:szCs w:val="20"/>
                      <w:lang w:eastAsia="en-US"/>
                    </w:rPr>
                  </w:pPr>
                  <w:r>
                    <w:rPr>
                      <w:rFonts w:eastAsia="Calibri"/>
                      <w:sz w:val="20"/>
                      <w:szCs w:val="20"/>
                      <w:lang w:eastAsia="en-US"/>
                    </w:rPr>
                    <w:t>Dokumentumok vizsgálata, elemzése</w:t>
                  </w:r>
                </w:p>
              </w:tc>
            </w:tr>
          </w:tbl>
          <w:p w:rsidR="003470AE" w:rsidRDefault="003470AE" w:rsidP="00656C58">
            <w:pPr>
              <w:rPr>
                <w:rFonts w:eastAsia="Calibri"/>
                <w:lang w:eastAsia="en-US"/>
              </w:rPr>
            </w:pPr>
          </w:p>
          <w:p w:rsidR="003B75B7" w:rsidRDefault="00E234D3" w:rsidP="00656C58">
            <w:pPr>
              <w:rPr>
                <w:rFonts w:eastAsia="Calibri"/>
                <w:lang w:eastAsia="en-US"/>
              </w:rPr>
            </w:pPr>
            <w:r>
              <w:rPr>
                <w:rFonts w:eastAsia="Calibri"/>
                <w:lang w:eastAsia="en-US"/>
              </w:rPr>
              <w:t xml:space="preserve">* </w:t>
            </w:r>
            <w:r w:rsidR="003B75B7" w:rsidRPr="00F67268">
              <w:rPr>
                <w:rFonts w:eastAsia="Calibri"/>
                <w:lang w:eastAsia="en-US"/>
              </w:rPr>
              <w:t>Az ellenőrzés</w:t>
            </w:r>
            <w:r w:rsidR="003470AE">
              <w:rPr>
                <w:rFonts w:eastAsia="Calibri"/>
                <w:lang w:eastAsia="en-US"/>
              </w:rPr>
              <w:t>ek a jóváhagyott 2017</w:t>
            </w:r>
            <w:r w:rsidR="00656C58">
              <w:rPr>
                <w:rFonts w:eastAsia="Calibri"/>
                <w:lang w:eastAsia="en-US"/>
              </w:rPr>
              <w:t>. évi ellenőrzési munkaterv alapján kerültek végrehajtásra.</w:t>
            </w:r>
          </w:p>
          <w:p w:rsidR="000B0203" w:rsidRPr="00F67268" w:rsidRDefault="00E234D3" w:rsidP="00E234D3">
            <w:r>
              <w:rPr>
                <w:rFonts w:eastAsia="Calibri"/>
                <w:lang w:eastAsia="en-US"/>
              </w:rPr>
              <w:t>** Az ellenőrzés a 2017. évi ellenőrzési munkaterven felül, soron kívül került végrehajtásra.</w:t>
            </w:r>
          </w:p>
        </w:tc>
      </w:tr>
      <w:tr w:rsidR="003B75B7" w:rsidRPr="00F67268" w:rsidTr="007A557E">
        <w:trPr>
          <w:trHeight w:val="3402"/>
        </w:trPr>
        <w:tc>
          <w:tcPr>
            <w:tcW w:w="158" w:type="pct"/>
          </w:tcPr>
          <w:p w:rsidR="003B75B7" w:rsidRPr="00F67268" w:rsidRDefault="003B75B7" w:rsidP="00300A08">
            <w:pPr>
              <w:rPr>
                <w:rFonts w:eastAsia="Calibri"/>
                <w:lang w:eastAsia="en-US"/>
              </w:rPr>
            </w:pPr>
          </w:p>
        </w:tc>
        <w:tc>
          <w:tcPr>
            <w:tcW w:w="231" w:type="pct"/>
            <w:gridSpan w:val="2"/>
          </w:tcPr>
          <w:p w:rsidR="003B75B7" w:rsidRPr="00F67268" w:rsidRDefault="003B75B7" w:rsidP="00300A08">
            <w:pPr>
              <w:rPr>
                <w:rFonts w:eastAsia="Calibri"/>
                <w:lang w:eastAsia="en-US"/>
              </w:rPr>
            </w:pPr>
          </w:p>
        </w:tc>
        <w:tc>
          <w:tcPr>
            <w:tcW w:w="261" w:type="pct"/>
            <w:gridSpan w:val="3"/>
          </w:tcPr>
          <w:p w:rsidR="003B75B7" w:rsidRPr="00F67268" w:rsidRDefault="003B75B7" w:rsidP="00300A08">
            <w:pPr>
              <w:rPr>
                <w:rFonts w:eastAsia="Calibri"/>
                <w:i/>
                <w:u w:val="single"/>
                <w:lang w:eastAsia="en-US"/>
              </w:rPr>
            </w:pPr>
            <w:r w:rsidRPr="00F67268">
              <w:rPr>
                <w:rFonts w:eastAsia="Calibri"/>
                <w:i/>
                <w:u w:val="single"/>
                <w:lang w:eastAsia="en-US"/>
              </w:rPr>
              <w:t>I/1/b)</w:t>
            </w:r>
          </w:p>
        </w:tc>
        <w:tc>
          <w:tcPr>
            <w:tcW w:w="806" w:type="pct"/>
            <w:gridSpan w:val="3"/>
          </w:tcPr>
          <w:p w:rsidR="003B75B7" w:rsidRPr="00F67268" w:rsidRDefault="003B75B7" w:rsidP="00956648">
            <w:pPr>
              <w:rPr>
                <w:rFonts w:eastAsia="Calibri"/>
                <w:lang w:eastAsia="en-US"/>
              </w:rPr>
            </w:pPr>
            <w:r w:rsidRPr="00F67268">
              <w:rPr>
                <w:rFonts w:eastAsia="Calibri"/>
                <w:i/>
                <w:u w:val="single"/>
                <w:lang w:eastAsia="en-US"/>
              </w:rPr>
              <w:t>Az ellenőrzések során büntető-, szabálysértési, kártérítési, illetve fegyelmi eljárás</w:t>
            </w:r>
            <w:r w:rsidRPr="00F67268">
              <w:rPr>
                <w:rFonts w:eastAsia="Calibri"/>
                <w:u w:val="single"/>
                <w:lang w:eastAsia="en-US"/>
              </w:rPr>
              <w:t xml:space="preserve"> </w:t>
            </w:r>
            <w:r w:rsidRPr="00F67268">
              <w:rPr>
                <w:rFonts w:eastAsia="Calibri"/>
                <w:i/>
                <w:u w:val="single"/>
                <w:lang w:eastAsia="en-US"/>
              </w:rPr>
              <w:t>megindítására okot adó cselekmény, mulasztás vagy hiányosság gyanúja kapcsán tett jelentések száma és rövid összefoglalása</w:t>
            </w:r>
          </w:p>
        </w:tc>
        <w:tc>
          <w:tcPr>
            <w:tcW w:w="3544" w:type="pct"/>
          </w:tcPr>
          <w:p w:rsidR="003B75B7" w:rsidRPr="00F67268" w:rsidRDefault="003B75B7" w:rsidP="007427E8">
            <w:pPr>
              <w:jc w:val="both"/>
              <w:rPr>
                <w:rFonts w:eastAsia="Calibri"/>
                <w:lang w:eastAsia="en-US"/>
              </w:rPr>
            </w:pPr>
            <w:r w:rsidRPr="00F67268">
              <w:rPr>
                <w:rFonts w:eastAsia="Calibri"/>
                <w:lang w:eastAsia="en-US"/>
              </w:rPr>
              <w:t>Az ellenőrzések során büntető-, szabálysértési, kártérítési, illetve fegyelmi eljárás megindítására okot adó cselekmény, mulasztás vagy hiányosság gyanúja</w:t>
            </w:r>
            <w:r w:rsidRPr="00004820">
              <w:rPr>
                <w:rFonts w:eastAsia="Calibri"/>
                <w:lang w:eastAsia="en-US"/>
              </w:rPr>
              <w:t xml:space="preserve"> </w:t>
            </w:r>
            <w:r w:rsidR="007F0BD3" w:rsidRPr="00004820">
              <w:rPr>
                <w:rFonts w:eastAsia="Calibri"/>
                <w:lang w:eastAsia="en-US"/>
              </w:rPr>
              <w:t xml:space="preserve">nem </w:t>
            </w:r>
            <w:r w:rsidRPr="00004820">
              <w:rPr>
                <w:rFonts w:eastAsia="Calibri"/>
                <w:lang w:eastAsia="en-US"/>
              </w:rPr>
              <w:t>merült fel.</w:t>
            </w:r>
          </w:p>
        </w:tc>
      </w:tr>
      <w:tr w:rsidR="003B75B7" w:rsidRPr="00F67268" w:rsidTr="007A557E">
        <w:tc>
          <w:tcPr>
            <w:tcW w:w="158" w:type="pct"/>
          </w:tcPr>
          <w:p w:rsidR="003B75B7" w:rsidRPr="00F67268" w:rsidRDefault="003B75B7" w:rsidP="00300A08">
            <w:pPr>
              <w:rPr>
                <w:rFonts w:eastAsia="Calibri"/>
                <w:b/>
                <w:lang w:eastAsia="en-US"/>
              </w:rPr>
            </w:pPr>
          </w:p>
        </w:tc>
        <w:tc>
          <w:tcPr>
            <w:tcW w:w="231" w:type="pct"/>
            <w:gridSpan w:val="2"/>
          </w:tcPr>
          <w:p w:rsidR="003B75B7" w:rsidRPr="00F67268" w:rsidRDefault="003B75B7" w:rsidP="00300A08">
            <w:pPr>
              <w:rPr>
                <w:rFonts w:eastAsia="Calibri"/>
                <w:b/>
                <w:lang w:eastAsia="en-US"/>
              </w:rPr>
            </w:pPr>
            <w:r w:rsidRPr="00F67268">
              <w:rPr>
                <w:rFonts w:eastAsia="Calibri"/>
                <w:b/>
                <w:lang w:eastAsia="en-US"/>
              </w:rPr>
              <w:t>I/2.</w:t>
            </w:r>
          </w:p>
        </w:tc>
        <w:tc>
          <w:tcPr>
            <w:tcW w:w="261" w:type="pct"/>
            <w:gridSpan w:val="3"/>
          </w:tcPr>
          <w:p w:rsidR="003B75B7" w:rsidRPr="00F67268" w:rsidRDefault="003B75B7" w:rsidP="00300A08">
            <w:pPr>
              <w:rPr>
                <w:rFonts w:eastAsia="Calibri"/>
                <w:b/>
                <w:lang w:eastAsia="en-US"/>
              </w:rPr>
            </w:pPr>
          </w:p>
        </w:tc>
        <w:tc>
          <w:tcPr>
            <w:tcW w:w="806" w:type="pct"/>
            <w:gridSpan w:val="3"/>
          </w:tcPr>
          <w:p w:rsidR="003B75B7" w:rsidRPr="00E234D3" w:rsidRDefault="003B75B7" w:rsidP="00300A08">
            <w:pPr>
              <w:rPr>
                <w:rFonts w:eastAsia="Calibri"/>
                <w:sz w:val="22"/>
                <w:szCs w:val="22"/>
                <w:lang w:eastAsia="en-US"/>
              </w:rPr>
            </w:pPr>
            <w:r w:rsidRPr="00E234D3">
              <w:rPr>
                <w:rFonts w:eastAsia="Calibri"/>
                <w:b/>
                <w:sz w:val="22"/>
                <w:szCs w:val="22"/>
                <w:lang w:eastAsia="en-US"/>
              </w:rPr>
              <w:t>A bizonyosságot adó tevékenységet elősegítő és akadályozó tényezők bemutatása (Bkr. 48. § ab) pont)</w:t>
            </w:r>
          </w:p>
        </w:tc>
        <w:tc>
          <w:tcPr>
            <w:tcW w:w="3544" w:type="pct"/>
          </w:tcPr>
          <w:p w:rsidR="003B75B7" w:rsidRPr="00F67268" w:rsidRDefault="003B75B7" w:rsidP="003B75B7">
            <w:pPr>
              <w:jc w:val="both"/>
              <w:rPr>
                <w:rFonts w:eastAsia="Calibri"/>
                <w:color w:val="FF0000"/>
                <w:lang w:eastAsia="en-US"/>
              </w:rPr>
            </w:pPr>
          </w:p>
        </w:tc>
      </w:tr>
      <w:tr w:rsidR="003B75B7" w:rsidRPr="00F67268" w:rsidTr="007A557E">
        <w:tc>
          <w:tcPr>
            <w:tcW w:w="158" w:type="pct"/>
          </w:tcPr>
          <w:p w:rsidR="003B75B7" w:rsidRPr="00F67268" w:rsidRDefault="003B75B7" w:rsidP="00300A08">
            <w:pPr>
              <w:rPr>
                <w:rFonts w:eastAsia="Calibri"/>
                <w:b/>
                <w:lang w:eastAsia="en-US"/>
              </w:rPr>
            </w:pPr>
          </w:p>
        </w:tc>
        <w:tc>
          <w:tcPr>
            <w:tcW w:w="231" w:type="pct"/>
            <w:gridSpan w:val="2"/>
          </w:tcPr>
          <w:p w:rsidR="003B75B7" w:rsidRPr="00F67268" w:rsidRDefault="003B75B7" w:rsidP="00300A08">
            <w:pPr>
              <w:rPr>
                <w:rFonts w:eastAsia="Calibri"/>
                <w:b/>
                <w:lang w:eastAsia="en-US"/>
              </w:rPr>
            </w:pPr>
          </w:p>
        </w:tc>
        <w:tc>
          <w:tcPr>
            <w:tcW w:w="261" w:type="pct"/>
            <w:gridSpan w:val="3"/>
          </w:tcPr>
          <w:p w:rsidR="003B75B7" w:rsidRPr="00F67268" w:rsidRDefault="003B75B7" w:rsidP="00300A08">
            <w:pPr>
              <w:rPr>
                <w:rFonts w:eastAsia="Calibri"/>
                <w:i/>
                <w:u w:val="single"/>
                <w:lang w:eastAsia="en-US"/>
              </w:rPr>
            </w:pPr>
            <w:r w:rsidRPr="00F67268">
              <w:rPr>
                <w:rFonts w:eastAsia="Calibri"/>
                <w:i/>
                <w:u w:val="single"/>
                <w:lang w:eastAsia="en-US"/>
              </w:rPr>
              <w:t>I/2/a)</w:t>
            </w:r>
          </w:p>
        </w:tc>
        <w:tc>
          <w:tcPr>
            <w:tcW w:w="806" w:type="pct"/>
            <w:gridSpan w:val="3"/>
          </w:tcPr>
          <w:p w:rsidR="003B75B7" w:rsidRPr="00F67268" w:rsidRDefault="003B75B7" w:rsidP="00300A08">
            <w:pPr>
              <w:rPr>
                <w:rFonts w:eastAsia="Calibri"/>
                <w:lang w:eastAsia="en-US"/>
              </w:rPr>
            </w:pPr>
            <w:r w:rsidRPr="00F67268">
              <w:rPr>
                <w:rFonts w:eastAsia="Calibri"/>
                <w:i/>
                <w:u w:val="single"/>
                <w:lang w:eastAsia="en-US"/>
              </w:rPr>
              <w:t xml:space="preserve">A belső ellenőrzési </w:t>
            </w:r>
            <w:proofErr w:type="gramStart"/>
            <w:r w:rsidRPr="00F67268">
              <w:rPr>
                <w:rFonts w:eastAsia="Calibri"/>
                <w:i/>
                <w:u w:val="single"/>
                <w:lang w:eastAsia="en-US"/>
              </w:rPr>
              <w:t>egység(</w:t>
            </w:r>
            <w:proofErr w:type="spellStart"/>
            <w:proofErr w:type="gramEnd"/>
            <w:r w:rsidRPr="00F67268">
              <w:rPr>
                <w:rFonts w:eastAsia="Calibri"/>
                <w:i/>
                <w:u w:val="single"/>
                <w:lang w:eastAsia="en-US"/>
              </w:rPr>
              <w:t>ek</w:t>
            </w:r>
            <w:proofErr w:type="spellEnd"/>
            <w:r w:rsidRPr="00F67268">
              <w:rPr>
                <w:rFonts w:eastAsia="Calibri"/>
                <w:i/>
                <w:u w:val="single"/>
                <w:lang w:eastAsia="en-US"/>
              </w:rPr>
              <w:t>) humánerőforrás-ellátottsága</w:t>
            </w:r>
          </w:p>
        </w:tc>
        <w:tc>
          <w:tcPr>
            <w:tcW w:w="3544" w:type="pct"/>
          </w:tcPr>
          <w:p w:rsidR="003B75B7" w:rsidRPr="00C11520" w:rsidRDefault="003B75B7" w:rsidP="003B75B7">
            <w:pPr>
              <w:jc w:val="both"/>
              <w:rPr>
                <w:rFonts w:eastAsia="Calibri"/>
                <w:lang w:eastAsia="en-US"/>
              </w:rPr>
            </w:pPr>
            <w:r w:rsidRPr="00C11520">
              <w:rPr>
                <w:rFonts w:eastAsia="Calibri"/>
                <w:lang w:eastAsia="en-US"/>
              </w:rPr>
              <w:t>A belső ellenőrzési egységnél a</w:t>
            </w:r>
            <w:r w:rsidR="00C63CAD" w:rsidRPr="00C11520">
              <w:rPr>
                <w:rFonts w:eastAsia="Calibri"/>
                <w:lang w:eastAsia="en-US"/>
              </w:rPr>
              <w:t>z intézmény belső ellenőrzési feladatainak</w:t>
            </w:r>
            <w:r w:rsidRPr="00C11520">
              <w:rPr>
                <w:rFonts w:eastAsia="Calibri"/>
                <w:lang w:eastAsia="en-US"/>
              </w:rPr>
              <w:t xml:space="preserve"> ellátásához szükséges kapacitás rendelkezésre állt.</w:t>
            </w:r>
          </w:p>
          <w:p w:rsidR="003B75B7" w:rsidRPr="00656C58" w:rsidRDefault="003B75B7" w:rsidP="003B75B7">
            <w:pPr>
              <w:jc w:val="both"/>
              <w:rPr>
                <w:rFonts w:eastAsia="Calibri"/>
                <w:color w:val="FF0000"/>
                <w:lang w:eastAsia="en-US"/>
              </w:rPr>
            </w:pPr>
            <w:r w:rsidRPr="00C11520">
              <w:rPr>
                <w:rFonts w:eastAsia="Calibri"/>
                <w:lang w:eastAsia="en-US"/>
              </w:rPr>
              <w:t>Belső ellenőri állásra kiírt pályázat nem volt.</w:t>
            </w:r>
          </w:p>
          <w:p w:rsidR="003B75B7" w:rsidRPr="00F67268" w:rsidRDefault="003B75B7" w:rsidP="003B75B7">
            <w:pPr>
              <w:jc w:val="both"/>
              <w:rPr>
                <w:rFonts w:eastAsia="Calibri"/>
                <w:lang w:eastAsia="en-US"/>
              </w:rPr>
            </w:pPr>
            <w:r w:rsidRPr="00F67268">
              <w:rPr>
                <w:rFonts w:eastAsia="Calibri"/>
                <w:lang w:eastAsia="en-US"/>
              </w:rPr>
              <w:t>A belső ellenőrök a szükséges képzéseken részt vettek.</w:t>
            </w:r>
          </w:p>
          <w:p w:rsidR="003B75B7" w:rsidRPr="00F67268" w:rsidRDefault="00656C58" w:rsidP="003B75B7">
            <w:pPr>
              <w:jc w:val="both"/>
              <w:rPr>
                <w:rFonts w:eastAsia="Calibri"/>
                <w:lang w:eastAsia="en-US"/>
              </w:rPr>
            </w:pPr>
            <w:r>
              <w:rPr>
                <w:rFonts w:eastAsia="Calibri"/>
                <w:lang w:eastAsia="en-US"/>
              </w:rPr>
              <w:t>Minden belső ellenőr rendelkezett</w:t>
            </w:r>
            <w:r w:rsidR="003B75B7" w:rsidRPr="00F67268">
              <w:rPr>
                <w:rFonts w:eastAsia="Calibri"/>
                <w:lang w:eastAsia="en-US"/>
              </w:rPr>
              <w:t xml:space="preserve"> a szükséges regisztrációval.</w:t>
            </w:r>
          </w:p>
        </w:tc>
      </w:tr>
      <w:tr w:rsidR="003B75B7" w:rsidRPr="00F67268" w:rsidTr="007A557E">
        <w:tc>
          <w:tcPr>
            <w:tcW w:w="158" w:type="pct"/>
          </w:tcPr>
          <w:p w:rsidR="003B75B7" w:rsidRPr="00F67268" w:rsidRDefault="003B75B7" w:rsidP="00300A08">
            <w:pPr>
              <w:rPr>
                <w:rFonts w:eastAsia="Calibri"/>
                <w:b/>
                <w:lang w:eastAsia="en-US"/>
              </w:rPr>
            </w:pPr>
          </w:p>
        </w:tc>
        <w:tc>
          <w:tcPr>
            <w:tcW w:w="231" w:type="pct"/>
            <w:gridSpan w:val="2"/>
          </w:tcPr>
          <w:p w:rsidR="003B75B7" w:rsidRPr="00F67268" w:rsidRDefault="003B75B7" w:rsidP="00300A08">
            <w:pPr>
              <w:rPr>
                <w:rFonts w:eastAsia="Calibri"/>
                <w:b/>
                <w:lang w:eastAsia="en-US"/>
              </w:rPr>
            </w:pPr>
          </w:p>
        </w:tc>
        <w:tc>
          <w:tcPr>
            <w:tcW w:w="261" w:type="pct"/>
            <w:gridSpan w:val="3"/>
          </w:tcPr>
          <w:p w:rsidR="003B75B7" w:rsidRPr="00F67268" w:rsidRDefault="003B75B7" w:rsidP="00300A08">
            <w:pPr>
              <w:rPr>
                <w:rFonts w:eastAsia="Calibri"/>
                <w:i/>
                <w:u w:val="single"/>
                <w:lang w:eastAsia="en-US"/>
              </w:rPr>
            </w:pPr>
            <w:r w:rsidRPr="00F67268">
              <w:rPr>
                <w:rFonts w:eastAsia="Calibri"/>
                <w:i/>
                <w:u w:val="single"/>
                <w:lang w:eastAsia="en-US"/>
              </w:rPr>
              <w:t>I/2/b)</w:t>
            </w:r>
          </w:p>
        </w:tc>
        <w:tc>
          <w:tcPr>
            <w:tcW w:w="806" w:type="pct"/>
            <w:gridSpan w:val="3"/>
          </w:tcPr>
          <w:p w:rsidR="003B75B7" w:rsidRPr="00F67268" w:rsidRDefault="003B75B7" w:rsidP="00300A08">
            <w:pPr>
              <w:rPr>
                <w:rFonts w:eastAsia="Calibri"/>
                <w:lang w:eastAsia="en-US"/>
              </w:rPr>
            </w:pPr>
            <w:r w:rsidRPr="00F67268">
              <w:rPr>
                <w:rFonts w:eastAsia="Calibri"/>
                <w:i/>
                <w:u w:val="single"/>
                <w:lang w:eastAsia="en-US"/>
              </w:rPr>
              <w:t>A belső ellenőrzési egység és a belső ellenőrök szervezeti és funkcionális függetlenségének biztosítása</w:t>
            </w:r>
            <w:r w:rsidRPr="00F67268">
              <w:rPr>
                <w:rFonts w:eastAsia="Calibri"/>
                <w:i/>
                <w:lang w:eastAsia="en-US"/>
              </w:rPr>
              <w:t xml:space="preserve"> (Bkr. 18-19. §</w:t>
            </w:r>
            <w:proofErr w:type="spellStart"/>
            <w:r w:rsidRPr="00F67268">
              <w:rPr>
                <w:rFonts w:eastAsia="Calibri"/>
                <w:i/>
                <w:lang w:eastAsia="en-US"/>
              </w:rPr>
              <w:t>-</w:t>
            </w:r>
            <w:proofErr w:type="gramStart"/>
            <w:r w:rsidRPr="00F67268">
              <w:rPr>
                <w:rFonts w:eastAsia="Calibri"/>
                <w:i/>
                <w:lang w:eastAsia="en-US"/>
              </w:rPr>
              <w:t>a</w:t>
            </w:r>
            <w:proofErr w:type="spellEnd"/>
            <w:proofErr w:type="gramEnd"/>
            <w:r w:rsidRPr="00F67268">
              <w:rPr>
                <w:rFonts w:eastAsia="Calibri"/>
                <w:i/>
                <w:lang w:eastAsia="en-US"/>
              </w:rPr>
              <w:t xml:space="preserve"> alapján)</w:t>
            </w:r>
          </w:p>
        </w:tc>
        <w:tc>
          <w:tcPr>
            <w:tcW w:w="3544" w:type="pct"/>
          </w:tcPr>
          <w:p w:rsidR="003B75B7" w:rsidRPr="00F67268" w:rsidRDefault="003B75B7" w:rsidP="003B75B7">
            <w:pPr>
              <w:jc w:val="both"/>
              <w:rPr>
                <w:rFonts w:eastAsia="Calibri"/>
                <w:lang w:eastAsia="en-US"/>
              </w:rPr>
            </w:pPr>
            <w:r w:rsidRPr="00F67268">
              <w:rPr>
                <w:rFonts w:eastAsia="Calibri"/>
                <w:lang w:eastAsia="en-US"/>
              </w:rPr>
              <w:t>A belső ellenőrök Kaposvár Megyei Jogú Város Polgármesteri Hivatalának dolgozói.</w:t>
            </w:r>
          </w:p>
          <w:p w:rsidR="003B75B7" w:rsidRPr="00F67268" w:rsidRDefault="003B75B7" w:rsidP="003B75B7">
            <w:pPr>
              <w:jc w:val="both"/>
              <w:rPr>
                <w:rFonts w:eastAsia="Calibri"/>
                <w:lang w:eastAsia="en-US"/>
              </w:rPr>
            </w:pPr>
            <w:r w:rsidRPr="00F67268">
              <w:rPr>
                <w:rFonts w:eastAsia="Calibri"/>
                <w:lang w:eastAsia="en-US"/>
              </w:rPr>
              <w:t>A belső ellenőrök funkcionális függetlensége biztosított volt.</w:t>
            </w:r>
          </w:p>
          <w:p w:rsidR="003B75B7" w:rsidRPr="00F67268" w:rsidRDefault="003B75B7" w:rsidP="003B75B7">
            <w:pPr>
              <w:jc w:val="both"/>
              <w:rPr>
                <w:rFonts w:eastAsia="Calibri"/>
                <w:lang w:eastAsia="en-US"/>
              </w:rPr>
            </w:pPr>
            <w:r w:rsidRPr="00F67268">
              <w:rPr>
                <w:rFonts w:eastAsia="Calibri"/>
                <w:lang w:eastAsia="en-US"/>
              </w:rPr>
              <w:t>A belső ellenőrök a szervezet operatív működésével kapcsolatos tevékenységében nem vettek részt.</w:t>
            </w:r>
          </w:p>
        </w:tc>
      </w:tr>
      <w:tr w:rsidR="003B75B7" w:rsidRPr="00F67268" w:rsidTr="007A557E">
        <w:tc>
          <w:tcPr>
            <w:tcW w:w="158" w:type="pct"/>
          </w:tcPr>
          <w:p w:rsidR="003B75B7" w:rsidRPr="00F67268" w:rsidRDefault="003B75B7" w:rsidP="00300A08">
            <w:pPr>
              <w:rPr>
                <w:rFonts w:eastAsia="Calibri"/>
                <w:b/>
                <w:lang w:eastAsia="en-US"/>
              </w:rPr>
            </w:pPr>
          </w:p>
        </w:tc>
        <w:tc>
          <w:tcPr>
            <w:tcW w:w="231" w:type="pct"/>
            <w:gridSpan w:val="2"/>
          </w:tcPr>
          <w:p w:rsidR="003B75B7" w:rsidRPr="00F67268" w:rsidRDefault="003B75B7" w:rsidP="00300A08">
            <w:pPr>
              <w:rPr>
                <w:rFonts w:eastAsia="Calibri"/>
                <w:b/>
                <w:lang w:eastAsia="en-US"/>
              </w:rPr>
            </w:pPr>
          </w:p>
        </w:tc>
        <w:tc>
          <w:tcPr>
            <w:tcW w:w="261" w:type="pct"/>
            <w:gridSpan w:val="3"/>
          </w:tcPr>
          <w:p w:rsidR="003B75B7" w:rsidRPr="00F67268" w:rsidRDefault="003B75B7" w:rsidP="00300A08">
            <w:pPr>
              <w:jc w:val="both"/>
              <w:rPr>
                <w:rFonts w:eastAsia="Calibri"/>
                <w:i/>
                <w:u w:val="single"/>
                <w:lang w:eastAsia="en-US"/>
              </w:rPr>
            </w:pPr>
            <w:r w:rsidRPr="00F67268">
              <w:rPr>
                <w:rFonts w:eastAsia="Calibri"/>
                <w:i/>
                <w:u w:val="single"/>
                <w:lang w:eastAsia="en-US"/>
              </w:rPr>
              <w:t>I/2/c)</w:t>
            </w:r>
          </w:p>
        </w:tc>
        <w:tc>
          <w:tcPr>
            <w:tcW w:w="806" w:type="pct"/>
            <w:gridSpan w:val="3"/>
          </w:tcPr>
          <w:p w:rsidR="003B75B7" w:rsidRPr="00F67268" w:rsidRDefault="003B75B7" w:rsidP="00956648">
            <w:pPr>
              <w:rPr>
                <w:rFonts w:eastAsia="Calibri"/>
                <w:lang w:eastAsia="en-US"/>
              </w:rPr>
            </w:pPr>
            <w:r w:rsidRPr="00F67268">
              <w:rPr>
                <w:rFonts w:eastAsia="Calibri"/>
                <w:i/>
                <w:u w:val="single"/>
                <w:lang w:eastAsia="en-US"/>
              </w:rPr>
              <w:t>Összeférhetetlenségi esetek</w:t>
            </w:r>
            <w:r w:rsidRPr="00F67268">
              <w:rPr>
                <w:rFonts w:eastAsia="Calibri"/>
                <w:i/>
                <w:lang w:eastAsia="en-US"/>
              </w:rPr>
              <w:t xml:space="preserve"> (Bkr. 20. §</w:t>
            </w:r>
            <w:proofErr w:type="spellStart"/>
            <w:r w:rsidRPr="00F67268">
              <w:rPr>
                <w:rFonts w:eastAsia="Calibri"/>
                <w:i/>
                <w:lang w:eastAsia="en-US"/>
              </w:rPr>
              <w:t>-</w:t>
            </w:r>
            <w:proofErr w:type="gramStart"/>
            <w:r w:rsidRPr="00F67268">
              <w:rPr>
                <w:rFonts w:eastAsia="Calibri"/>
                <w:i/>
                <w:lang w:eastAsia="en-US"/>
              </w:rPr>
              <w:t>a</w:t>
            </w:r>
            <w:proofErr w:type="spellEnd"/>
            <w:proofErr w:type="gramEnd"/>
            <w:r w:rsidRPr="00F67268">
              <w:rPr>
                <w:rFonts w:eastAsia="Calibri"/>
                <w:i/>
                <w:lang w:eastAsia="en-US"/>
              </w:rPr>
              <w:t xml:space="preserve"> alapján)</w:t>
            </w:r>
          </w:p>
        </w:tc>
        <w:tc>
          <w:tcPr>
            <w:tcW w:w="3544" w:type="pct"/>
          </w:tcPr>
          <w:p w:rsidR="003B75B7" w:rsidRPr="00F67268" w:rsidRDefault="003B75B7" w:rsidP="003B75B7">
            <w:pPr>
              <w:jc w:val="both"/>
              <w:rPr>
                <w:rFonts w:eastAsia="Calibri"/>
                <w:lang w:eastAsia="en-US"/>
              </w:rPr>
            </w:pPr>
            <w:r w:rsidRPr="00F67268">
              <w:rPr>
                <w:rFonts w:eastAsia="Calibri"/>
                <w:lang w:eastAsia="en-US"/>
              </w:rPr>
              <w:t>Összeférhetetlenségi eset nem volt.</w:t>
            </w:r>
          </w:p>
        </w:tc>
      </w:tr>
      <w:tr w:rsidR="003B75B7" w:rsidRPr="00F67268" w:rsidTr="007A557E">
        <w:tc>
          <w:tcPr>
            <w:tcW w:w="158" w:type="pct"/>
          </w:tcPr>
          <w:p w:rsidR="003B75B7" w:rsidRPr="00F67268" w:rsidRDefault="003B75B7" w:rsidP="00300A08">
            <w:pPr>
              <w:rPr>
                <w:rFonts w:eastAsia="Calibri"/>
                <w:b/>
                <w:lang w:eastAsia="en-US"/>
              </w:rPr>
            </w:pPr>
          </w:p>
        </w:tc>
        <w:tc>
          <w:tcPr>
            <w:tcW w:w="231" w:type="pct"/>
            <w:gridSpan w:val="2"/>
          </w:tcPr>
          <w:p w:rsidR="003B75B7" w:rsidRPr="00F67268" w:rsidRDefault="003B75B7" w:rsidP="00300A08">
            <w:pPr>
              <w:rPr>
                <w:rFonts w:eastAsia="Calibri"/>
                <w:b/>
                <w:lang w:eastAsia="en-US"/>
              </w:rPr>
            </w:pPr>
          </w:p>
        </w:tc>
        <w:tc>
          <w:tcPr>
            <w:tcW w:w="261" w:type="pct"/>
            <w:gridSpan w:val="3"/>
          </w:tcPr>
          <w:p w:rsidR="003B75B7" w:rsidRPr="00F67268" w:rsidRDefault="003B75B7" w:rsidP="00300A08">
            <w:pPr>
              <w:jc w:val="both"/>
              <w:rPr>
                <w:rFonts w:eastAsia="Calibri"/>
                <w:i/>
                <w:u w:val="single"/>
                <w:lang w:eastAsia="en-US"/>
              </w:rPr>
            </w:pPr>
            <w:r w:rsidRPr="00F67268">
              <w:rPr>
                <w:rFonts w:eastAsia="Calibri"/>
                <w:i/>
                <w:u w:val="single"/>
                <w:lang w:eastAsia="en-US"/>
              </w:rPr>
              <w:t>I/2/d)</w:t>
            </w:r>
          </w:p>
        </w:tc>
        <w:tc>
          <w:tcPr>
            <w:tcW w:w="806" w:type="pct"/>
            <w:gridSpan w:val="3"/>
          </w:tcPr>
          <w:p w:rsidR="003B75B7" w:rsidRPr="00F67268" w:rsidRDefault="003B75B7" w:rsidP="00300A08">
            <w:pPr>
              <w:rPr>
                <w:rFonts w:eastAsia="Calibri"/>
                <w:lang w:eastAsia="en-US"/>
              </w:rPr>
            </w:pPr>
            <w:r w:rsidRPr="00F67268">
              <w:rPr>
                <w:rFonts w:eastAsia="Calibri"/>
                <w:i/>
                <w:u w:val="single"/>
                <w:lang w:eastAsia="en-US"/>
              </w:rPr>
              <w:t xml:space="preserve">A belső ellenőri jogokkal kapcsolatos esetleges korlátozások bemutatása </w:t>
            </w:r>
          </w:p>
        </w:tc>
        <w:tc>
          <w:tcPr>
            <w:tcW w:w="3544" w:type="pct"/>
          </w:tcPr>
          <w:p w:rsidR="003B75B7" w:rsidRPr="00F67268" w:rsidRDefault="003B75B7" w:rsidP="003B75B7">
            <w:pPr>
              <w:jc w:val="both"/>
              <w:rPr>
                <w:rFonts w:eastAsia="Calibri"/>
                <w:lang w:eastAsia="en-US"/>
              </w:rPr>
            </w:pPr>
            <w:r w:rsidRPr="00F67268">
              <w:rPr>
                <w:rFonts w:eastAsia="Calibri"/>
                <w:lang w:eastAsia="en-US"/>
              </w:rPr>
              <w:t>Belső ellenőri jogosultságokkal kapcsolatos probléma, korlátozás nem volt.</w:t>
            </w:r>
          </w:p>
        </w:tc>
      </w:tr>
      <w:tr w:rsidR="003B75B7" w:rsidRPr="00F67268" w:rsidTr="007A557E">
        <w:tc>
          <w:tcPr>
            <w:tcW w:w="158" w:type="pct"/>
          </w:tcPr>
          <w:p w:rsidR="003B75B7" w:rsidRPr="00F67268" w:rsidRDefault="003B75B7" w:rsidP="00300A08">
            <w:pPr>
              <w:rPr>
                <w:rFonts w:eastAsia="Calibri"/>
                <w:b/>
                <w:lang w:eastAsia="en-US"/>
              </w:rPr>
            </w:pPr>
          </w:p>
        </w:tc>
        <w:tc>
          <w:tcPr>
            <w:tcW w:w="231" w:type="pct"/>
            <w:gridSpan w:val="2"/>
          </w:tcPr>
          <w:p w:rsidR="003B75B7" w:rsidRPr="00F67268" w:rsidRDefault="003B75B7" w:rsidP="00300A08">
            <w:pPr>
              <w:rPr>
                <w:rFonts w:eastAsia="Calibri"/>
                <w:b/>
                <w:lang w:eastAsia="en-US"/>
              </w:rPr>
            </w:pPr>
          </w:p>
        </w:tc>
        <w:tc>
          <w:tcPr>
            <w:tcW w:w="261" w:type="pct"/>
            <w:gridSpan w:val="3"/>
          </w:tcPr>
          <w:p w:rsidR="003B75B7" w:rsidRPr="00F67268" w:rsidRDefault="003B75B7" w:rsidP="00300A08">
            <w:pPr>
              <w:rPr>
                <w:rFonts w:eastAsia="Calibri"/>
                <w:i/>
                <w:u w:val="single"/>
                <w:lang w:eastAsia="en-US"/>
              </w:rPr>
            </w:pPr>
            <w:r w:rsidRPr="00F67268">
              <w:rPr>
                <w:rFonts w:eastAsia="Calibri"/>
                <w:i/>
                <w:u w:val="single"/>
                <w:lang w:eastAsia="en-US"/>
              </w:rPr>
              <w:t>I/2/e)</w:t>
            </w:r>
          </w:p>
        </w:tc>
        <w:tc>
          <w:tcPr>
            <w:tcW w:w="806" w:type="pct"/>
            <w:gridSpan w:val="3"/>
          </w:tcPr>
          <w:p w:rsidR="003B75B7" w:rsidRPr="00F67268" w:rsidRDefault="003B75B7" w:rsidP="00300A08">
            <w:pPr>
              <w:rPr>
                <w:rFonts w:eastAsia="Calibri"/>
                <w:lang w:eastAsia="en-US"/>
              </w:rPr>
            </w:pPr>
            <w:r w:rsidRPr="00F67268">
              <w:rPr>
                <w:rFonts w:eastAsia="Calibri"/>
                <w:i/>
                <w:u w:val="single"/>
                <w:lang w:eastAsia="en-US"/>
              </w:rPr>
              <w:t>A belső ellenőrzés végrehajtását akadályozó tényezők</w:t>
            </w:r>
          </w:p>
        </w:tc>
        <w:tc>
          <w:tcPr>
            <w:tcW w:w="3544" w:type="pct"/>
          </w:tcPr>
          <w:p w:rsidR="003B75B7" w:rsidRPr="00E87B09" w:rsidRDefault="003B75B7" w:rsidP="003B75B7">
            <w:pPr>
              <w:jc w:val="both"/>
              <w:rPr>
                <w:rFonts w:eastAsia="Calibri"/>
                <w:lang w:eastAsia="en-US"/>
              </w:rPr>
            </w:pPr>
            <w:r w:rsidRPr="00E87B09">
              <w:rPr>
                <w:rFonts w:eastAsia="Calibri"/>
                <w:lang w:eastAsia="en-US"/>
              </w:rPr>
              <w:t>Egyéb erőforrás-ellátottsággal kapcsolatos probléma nem merült fel.</w:t>
            </w:r>
          </w:p>
        </w:tc>
      </w:tr>
      <w:tr w:rsidR="003B75B7" w:rsidRPr="00F67268" w:rsidTr="007A557E">
        <w:tc>
          <w:tcPr>
            <w:tcW w:w="158" w:type="pct"/>
          </w:tcPr>
          <w:p w:rsidR="003B75B7" w:rsidRPr="00F67268" w:rsidRDefault="003B75B7" w:rsidP="00300A08">
            <w:pPr>
              <w:rPr>
                <w:rFonts w:eastAsia="Calibri"/>
                <w:b/>
                <w:lang w:eastAsia="en-US"/>
              </w:rPr>
            </w:pPr>
          </w:p>
        </w:tc>
        <w:tc>
          <w:tcPr>
            <w:tcW w:w="231" w:type="pct"/>
            <w:gridSpan w:val="2"/>
          </w:tcPr>
          <w:p w:rsidR="003B75B7" w:rsidRPr="00F67268" w:rsidRDefault="003B75B7" w:rsidP="00300A08">
            <w:pPr>
              <w:rPr>
                <w:rFonts w:eastAsia="Calibri"/>
                <w:b/>
                <w:lang w:eastAsia="en-US"/>
              </w:rPr>
            </w:pPr>
          </w:p>
        </w:tc>
        <w:tc>
          <w:tcPr>
            <w:tcW w:w="261" w:type="pct"/>
            <w:gridSpan w:val="3"/>
          </w:tcPr>
          <w:p w:rsidR="003B75B7" w:rsidRPr="00F67268" w:rsidRDefault="003B75B7" w:rsidP="00300A08">
            <w:pPr>
              <w:jc w:val="both"/>
              <w:rPr>
                <w:rFonts w:eastAsia="Calibri"/>
                <w:i/>
                <w:u w:val="single"/>
                <w:lang w:eastAsia="en-US"/>
              </w:rPr>
            </w:pPr>
            <w:r w:rsidRPr="00F67268">
              <w:rPr>
                <w:rFonts w:eastAsia="Calibri"/>
                <w:i/>
                <w:u w:val="single"/>
                <w:lang w:eastAsia="en-US"/>
              </w:rPr>
              <w:t>I/2/f)</w:t>
            </w:r>
          </w:p>
        </w:tc>
        <w:tc>
          <w:tcPr>
            <w:tcW w:w="806" w:type="pct"/>
            <w:gridSpan w:val="3"/>
          </w:tcPr>
          <w:p w:rsidR="003B75B7" w:rsidRPr="00F67268" w:rsidRDefault="003B75B7" w:rsidP="00300A08">
            <w:pPr>
              <w:rPr>
                <w:rFonts w:eastAsia="Calibri"/>
                <w:i/>
                <w:lang w:eastAsia="en-US"/>
              </w:rPr>
            </w:pPr>
            <w:r w:rsidRPr="00F67268">
              <w:rPr>
                <w:rFonts w:eastAsia="Calibri"/>
                <w:i/>
                <w:u w:val="single"/>
                <w:lang w:eastAsia="en-US"/>
              </w:rPr>
              <w:t>Az ellenőrzések nyilvántartása</w:t>
            </w:r>
          </w:p>
        </w:tc>
        <w:tc>
          <w:tcPr>
            <w:tcW w:w="3544" w:type="pct"/>
          </w:tcPr>
          <w:p w:rsidR="003B75B7" w:rsidRPr="00F67268" w:rsidRDefault="003B75B7" w:rsidP="003B75B7">
            <w:pPr>
              <w:jc w:val="both"/>
              <w:rPr>
                <w:rFonts w:eastAsia="Calibri"/>
                <w:lang w:eastAsia="en-US"/>
              </w:rPr>
            </w:pPr>
            <w:r w:rsidRPr="00F67268">
              <w:rPr>
                <w:rFonts w:eastAsia="Calibri"/>
                <w:lang w:eastAsia="en-US"/>
              </w:rPr>
              <w:t>Az elvégzett ellenőrzésekről a Bkr. 22. és 50. §</w:t>
            </w:r>
            <w:proofErr w:type="spellStart"/>
            <w:r w:rsidRPr="00F67268">
              <w:rPr>
                <w:rFonts w:eastAsia="Calibri"/>
                <w:lang w:eastAsia="en-US"/>
              </w:rPr>
              <w:t>-a</w:t>
            </w:r>
            <w:proofErr w:type="spellEnd"/>
            <w:r w:rsidRPr="00F67268">
              <w:rPr>
                <w:rFonts w:eastAsia="Calibri"/>
                <w:lang w:eastAsia="en-US"/>
              </w:rPr>
              <w:t xml:space="preserve"> szerinti nyilvántartásokat az Ellenőrzési Iroda vezeti. Az ellenőrzési dokumentumok megőrzéséről, illetve a dokumentumok és adatok szabályszerű, biztonságos tárolásáról az Ellenőrzési Iroda gondoskodik.</w:t>
            </w:r>
          </w:p>
        </w:tc>
      </w:tr>
      <w:tr w:rsidR="005B0B73" w:rsidRPr="00F67268" w:rsidTr="007A557E">
        <w:trPr>
          <w:trHeight w:val="1210"/>
        </w:trPr>
        <w:tc>
          <w:tcPr>
            <w:tcW w:w="158" w:type="pct"/>
          </w:tcPr>
          <w:p w:rsidR="005B0B73" w:rsidRPr="00F67268" w:rsidRDefault="005B0B73" w:rsidP="00300A08">
            <w:pPr>
              <w:rPr>
                <w:rFonts w:eastAsia="Calibri"/>
                <w:b/>
                <w:lang w:eastAsia="en-US"/>
              </w:rPr>
            </w:pPr>
          </w:p>
        </w:tc>
        <w:tc>
          <w:tcPr>
            <w:tcW w:w="231" w:type="pct"/>
            <w:gridSpan w:val="2"/>
          </w:tcPr>
          <w:p w:rsidR="005B0B73" w:rsidRPr="00F67268" w:rsidRDefault="005B0B73" w:rsidP="00300A08">
            <w:pPr>
              <w:rPr>
                <w:rFonts w:eastAsia="Calibri"/>
                <w:b/>
                <w:lang w:eastAsia="en-US"/>
              </w:rPr>
            </w:pPr>
          </w:p>
        </w:tc>
        <w:tc>
          <w:tcPr>
            <w:tcW w:w="261" w:type="pct"/>
            <w:gridSpan w:val="3"/>
          </w:tcPr>
          <w:p w:rsidR="005B0B73" w:rsidRPr="00F67268" w:rsidRDefault="005B0B73" w:rsidP="00300A08">
            <w:pPr>
              <w:rPr>
                <w:rFonts w:eastAsia="Calibri"/>
                <w:i/>
                <w:u w:val="single"/>
                <w:lang w:eastAsia="en-US"/>
              </w:rPr>
            </w:pPr>
            <w:r w:rsidRPr="00F67268">
              <w:rPr>
                <w:rFonts w:eastAsia="Calibri"/>
                <w:i/>
                <w:u w:val="single"/>
                <w:lang w:eastAsia="en-US"/>
              </w:rPr>
              <w:t>I/2/g)</w:t>
            </w:r>
          </w:p>
        </w:tc>
        <w:tc>
          <w:tcPr>
            <w:tcW w:w="806" w:type="pct"/>
            <w:gridSpan w:val="3"/>
          </w:tcPr>
          <w:p w:rsidR="005B0B73" w:rsidRPr="00F67268" w:rsidRDefault="005B0B73" w:rsidP="00956648">
            <w:pPr>
              <w:rPr>
                <w:rFonts w:eastAsia="Calibri"/>
                <w:lang w:eastAsia="en-US"/>
              </w:rPr>
            </w:pPr>
            <w:r w:rsidRPr="00F67268">
              <w:rPr>
                <w:rFonts w:eastAsia="Calibri"/>
                <w:i/>
                <w:u w:val="single"/>
                <w:lang w:eastAsia="en-US"/>
              </w:rPr>
              <w:t>Az ellenőrzési tevékenység fejlesztésére vonatkozó javaslatok</w:t>
            </w:r>
          </w:p>
        </w:tc>
        <w:tc>
          <w:tcPr>
            <w:tcW w:w="3544" w:type="pct"/>
          </w:tcPr>
          <w:p w:rsidR="005B0B73" w:rsidRPr="007F0BD3" w:rsidRDefault="005B0B73" w:rsidP="00ED267F">
            <w:pPr>
              <w:rPr>
                <w:rFonts w:eastAsia="Calibri"/>
                <w:lang w:eastAsia="en-US"/>
              </w:rPr>
            </w:pPr>
            <w:r w:rsidRPr="007F0BD3">
              <w:rPr>
                <w:rFonts w:eastAsia="Calibri"/>
                <w:lang w:eastAsia="en-US"/>
              </w:rPr>
              <w:t>Az ellenőrzési tevékenységre vonatkozóan fejlesztési javaslatot nem fogalmaztak meg.</w:t>
            </w:r>
          </w:p>
        </w:tc>
      </w:tr>
      <w:tr w:rsidR="005B0B73" w:rsidRPr="00F67268" w:rsidTr="00B1609C">
        <w:trPr>
          <w:trHeight w:val="1134"/>
        </w:trPr>
        <w:tc>
          <w:tcPr>
            <w:tcW w:w="158" w:type="pct"/>
          </w:tcPr>
          <w:p w:rsidR="005B0B73" w:rsidRPr="00F67268" w:rsidRDefault="005B0B73" w:rsidP="00300A08">
            <w:pPr>
              <w:rPr>
                <w:rFonts w:eastAsia="Calibri"/>
                <w:b/>
                <w:lang w:eastAsia="en-US"/>
              </w:rPr>
            </w:pPr>
          </w:p>
        </w:tc>
        <w:tc>
          <w:tcPr>
            <w:tcW w:w="231" w:type="pct"/>
            <w:gridSpan w:val="2"/>
          </w:tcPr>
          <w:p w:rsidR="005B0B73" w:rsidRPr="00F67268" w:rsidRDefault="005B0B73" w:rsidP="00300A08">
            <w:pPr>
              <w:rPr>
                <w:rFonts w:eastAsia="Calibri"/>
                <w:b/>
                <w:lang w:eastAsia="en-US"/>
              </w:rPr>
            </w:pPr>
            <w:r w:rsidRPr="00F67268">
              <w:rPr>
                <w:rFonts w:eastAsia="Calibri"/>
                <w:b/>
                <w:lang w:eastAsia="en-US"/>
              </w:rPr>
              <w:t>I/3.</w:t>
            </w:r>
          </w:p>
        </w:tc>
        <w:tc>
          <w:tcPr>
            <w:tcW w:w="261" w:type="pct"/>
            <w:gridSpan w:val="3"/>
          </w:tcPr>
          <w:p w:rsidR="005B0B73" w:rsidRPr="00F67268" w:rsidRDefault="005B0B73" w:rsidP="00300A08">
            <w:pPr>
              <w:rPr>
                <w:rFonts w:eastAsia="Calibri"/>
                <w:b/>
                <w:lang w:eastAsia="en-US"/>
              </w:rPr>
            </w:pPr>
          </w:p>
        </w:tc>
        <w:tc>
          <w:tcPr>
            <w:tcW w:w="806" w:type="pct"/>
            <w:gridSpan w:val="3"/>
          </w:tcPr>
          <w:p w:rsidR="00A511DC" w:rsidRPr="00F67268" w:rsidRDefault="005B0B73" w:rsidP="00026596">
            <w:pPr>
              <w:rPr>
                <w:rFonts w:eastAsia="Calibri"/>
                <w:lang w:eastAsia="en-US"/>
              </w:rPr>
            </w:pPr>
            <w:r w:rsidRPr="00F67268">
              <w:rPr>
                <w:rFonts w:eastAsia="Calibri"/>
                <w:b/>
                <w:lang w:eastAsia="en-US"/>
              </w:rPr>
              <w:t xml:space="preserve">A tanácsadó tevékenység bemutatása (Bkr. 48. § </w:t>
            </w:r>
            <w:proofErr w:type="spellStart"/>
            <w:r w:rsidRPr="00F67268">
              <w:rPr>
                <w:rFonts w:eastAsia="Calibri"/>
                <w:b/>
                <w:lang w:eastAsia="en-US"/>
              </w:rPr>
              <w:t>ac</w:t>
            </w:r>
            <w:proofErr w:type="spellEnd"/>
            <w:r w:rsidRPr="00F67268">
              <w:rPr>
                <w:rFonts w:eastAsia="Calibri"/>
                <w:b/>
                <w:lang w:eastAsia="en-US"/>
              </w:rPr>
              <w:t>) pont)</w:t>
            </w:r>
          </w:p>
        </w:tc>
        <w:tc>
          <w:tcPr>
            <w:tcW w:w="3544" w:type="pct"/>
          </w:tcPr>
          <w:tbl>
            <w:tblPr>
              <w:tblStyle w:val="Rcsostblzat"/>
              <w:tblW w:w="0" w:type="auto"/>
              <w:tblInd w:w="340" w:type="dxa"/>
              <w:tblLayout w:type="fixed"/>
              <w:tblLook w:val="04A0" w:firstRow="1" w:lastRow="0" w:firstColumn="1" w:lastColumn="0" w:noHBand="0" w:noVBand="1"/>
            </w:tblPr>
            <w:tblGrid>
              <w:gridCol w:w="4655"/>
              <w:gridCol w:w="4417"/>
            </w:tblGrid>
            <w:tr w:rsidR="00732ADD" w:rsidRPr="008307D2" w:rsidTr="00614921">
              <w:trPr>
                <w:trHeight w:val="364"/>
              </w:trPr>
              <w:tc>
                <w:tcPr>
                  <w:tcW w:w="4655" w:type="dxa"/>
                </w:tcPr>
                <w:p w:rsidR="00732ADD" w:rsidRPr="008307D2" w:rsidRDefault="00732ADD" w:rsidP="00732ADD">
                  <w:pPr>
                    <w:jc w:val="both"/>
                    <w:rPr>
                      <w:rFonts w:eastAsia="Calibri"/>
                      <w:i/>
                      <w:sz w:val="20"/>
                      <w:szCs w:val="20"/>
                    </w:rPr>
                  </w:pPr>
                  <w:r w:rsidRPr="008307D2">
                    <w:rPr>
                      <w:rFonts w:eastAsia="Calibri"/>
                      <w:i/>
                      <w:sz w:val="20"/>
                      <w:szCs w:val="20"/>
                    </w:rPr>
                    <w:t>Tárgy</w:t>
                  </w:r>
                </w:p>
              </w:tc>
              <w:tc>
                <w:tcPr>
                  <w:tcW w:w="4417" w:type="dxa"/>
                </w:tcPr>
                <w:p w:rsidR="00732ADD" w:rsidRPr="008307D2" w:rsidRDefault="00732ADD" w:rsidP="00732ADD">
                  <w:pPr>
                    <w:jc w:val="both"/>
                    <w:rPr>
                      <w:rFonts w:eastAsia="Calibri"/>
                      <w:i/>
                      <w:sz w:val="20"/>
                      <w:szCs w:val="20"/>
                    </w:rPr>
                  </w:pPr>
                  <w:r w:rsidRPr="008307D2">
                    <w:rPr>
                      <w:rFonts w:eastAsia="Calibri"/>
                      <w:i/>
                      <w:sz w:val="20"/>
                      <w:szCs w:val="20"/>
                    </w:rPr>
                    <w:t>Eredmény</w:t>
                  </w:r>
                </w:p>
              </w:tc>
            </w:tr>
            <w:tr w:rsidR="00732ADD" w:rsidTr="00614921">
              <w:tc>
                <w:tcPr>
                  <w:tcW w:w="4655" w:type="dxa"/>
                </w:tcPr>
                <w:p w:rsidR="00732ADD" w:rsidRPr="00982D9D" w:rsidRDefault="00766B16" w:rsidP="00732ADD">
                  <w:pPr>
                    <w:jc w:val="both"/>
                    <w:rPr>
                      <w:rFonts w:eastAsia="Calibri"/>
                      <w:sz w:val="18"/>
                      <w:szCs w:val="18"/>
                    </w:rPr>
                  </w:pPr>
                  <w:r>
                    <w:rPr>
                      <w:rFonts w:eastAsia="Calibri"/>
                      <w:sz w:val="18"/>
                      <w:szCs w:val="18"/>
                    </w:rPr>
                    <w:t>ÁSZ intézkedési terv készítés</w:t>
                  </w:r>
                  <w:r w:rsidR="00732ADD">
                    <w:rPr>
                      <w:rFonts w:eastAsia="Calibri"/>
                      <w:sz w:val="18"/>
                      <w:szCs w:val="18"/>
                    </w:rPr>
                    <w:t xml:space="preserve"> </w:t>
                  </w:r>
                </w:p>
              </w:tc>
              <w:tc>
                <w:tcPr>
                  <w:tcW w:w="4417" w:type="dxa"/>
                </w:tcPr>
                <w:p w:rsidR="00732ADD" w:rsidRPr="00982D9D" w:rsidRDefault="00766B16" w:rsidP="00766B16">
                  <w:pPr>
                    <w:jc w:val="both"/>
                    <w:rPr>
                      <w:rFonts w:eastAsia="Calibri"/>
                      <w:sz w:val="18"/>
                      <w:szCs w:val="18"/>
                    </w:rPr>
                  </w:pPr>
                  <w:r>
                    <w:rPr>
                      <w:rFonts w:eastAsia="Calibri"/>
                      <w:sz w:val="18"/>
                      <w:szCs w:val="18"/>
                    </w:rPr>
                    <w:t>Elfogadott intézkedési terv</w:t>
                  </w:r>
                </w:p>
              </w:tc>
            </w:tr>
          </w:tbl>
          <w:p w:rsidR="005B0B73" w:rsidRPr="00F67268" w:rsidRDefault="005B0B73" w:rsidP="00300A08">
            <w:pPr>
              <w:rPr>
                <w:rFonts w:eastAsia="Calibri"/>
                <w:lang w:eastAsia="en-US"/>
              </w:rPr>
            </w:pPr>
          </w:p>
        </w:tc>
      </w:tr>
      <w:tr w:rsidR="005B0B73" w:rsidRPr="00F67268" w:rsidTr="000B0203">
        <w:tc>
          <w:tcPr>
            <w:tcW w:w="5000" w:type="pct"/>
            <w:gridSpan w:val="10"/>
            <w:shd w:val="clear" w:color="auto" w:fill="D9D9D9"/>
          </w:tcPr>
          <w:p w:rsidR="005B0B73" w:rsidRPr="00B1609C" w:rsidRDefault="005B0B73" w:rsidP="00300A08">
            <w:pPr>
              <w:autoSpaceDE w:val="0"/>
              <w:jc w:val="both"/>
              <w:rPr>
                <w:rFonts w:eastAsia="Calibri"/>
                <w:sz w:val="12"/>
                <w:szCs w:val="12"/>
                <w:lang w:eastAsia="en-US"/>
              </w:rPr>
            </w:pPr>
          </w:p>
        </w:tc>
      </w:tr>
      <w:tr w:rsidR="00F67268" w:rsidRPr="00F67268" w:rsidTr="007A557E">
        <w:tc>
          <w:tcPr>
            <w:tcW w:w="194" w:type="pct"/>
            <w:gridSpan w:val="2"/>
          </w:tcPr>
          <w:p w:rsidR="00F67268" w:rsidRPr="00F67268" w:rsidRDefault="00F67268" w:rsidP="00300A08">
            <w:pPr>
              <w:rPr>
                <w:rFonts w:eastAsia="Calibri"/>
                <w:b/>
                <w:lang w:eastAsia="en-US"/>
              </w:rPr>
            </w:pPr>
            <w:r w:rsidRPr="00F67268">
              <w:rPr>
                <w:rFonts w:eastAsia="Calibri"/>
                <w:b/>
                <w:lang w:eastAsia="en-US"/>
              </w:rPr>
              <w:t>II.</w:t>
            </w:r>
          </w:p>
        </w:tc>
        <w:tc>
          <w:tcPr>
            <w:tcW w:w="206" w:type="pct"/>
            <w:gridSpan w:val="2"/>
          </w:tcPr>
          <w:p w:rsidR="00F67268" w:rsidRPr="00F67268" w:rsidRDefault="00F67268" w:rsidP="00300A08">
            <w:pPr>
              <w:rPr>
                <w:rFonts w:eastAsia="Calibri"/>
                <w:b/>
                <w:lang w:eastAsia="en-US"/>
              </w:rPr>
            </w:pPr>
          </w:p>
        </w:tc>
        <w:tc>
          <w:tcPr>
            <w:tcW w:w="262" w:type="pct"/>
            <w:gridSpan w:val="3"/>
          </w:tcPr>
          <w:p w:rsidR="00F67268" w:rsidRPr="00F67268" w:rsidRDefault="00F67268" w:rsidP="00300A08">
            <w:pPr>
              <w:rPr>
                <w:rFonts w:eastAsia="Calibri"/>
                <w:b/>
                <w:color w:val="4F81BD"/>
                <w:lang w:eastAsia="en-US"/>
              </w:rPr>
            </w:pPr>
          </w:p>
        </w:tc>
        <w:tc>
          <w:tcPr>
            <w:tcW w:w="794" w:type="pct"/>
            <w:gridSpan w:val="2"/>
          </w:tcPr>
          <w:p w:rsidR="00A511DC" w:rsidRPr="00026596" w:rsidRDefault="00F67268" w:rsidP="00026596">
            <w:pPr>
              <w:rPr>
                <w:rFonts w:eastAsia="Calibri"/>
                <w:color w:val="4F81BD"/>
                <w:sz w:val="22"/>
                <w:szCs w:val="22"/>
                <w:lang w:eastAsia="en-US"/>
              </w:rPr>
            </w:pPr>
            <w:r w:rsidRPr="00026596">
              <w:rPr>
                <w:rFonts w:eastAsia="Calibri"/>
                <w:b/>
                <w:color w:val="4F81BD"/>
                <w:sz w:val="22"/>
                <w:szCs w:val="22"/>
                <w:lang w:eastAsia="en-US"/>
              </w:rPr>
              <w:t>A belső kontrollrendszer működésének értékelése ellenőrzési tapasztalatok alapján (Bkr. 48. § b) pont)</w:t>
            </w:r>
          </w:p>
        </w:tc>
        <w:tc>
          <w:tcPr>
            <w:tcW w:w="3544" w:type="pct"/>
          </w:tcPr>
          <w:p w:rsidR="00F67268" w:rsidRPr="00F67268" w:rsidRDefault="00F67268" w:rsidP="00300A08">
            <w:pPr>
              <w:autoSpaceDE w:val="0"/>
              <w:jc w:val="both"/>
              <w:rPr>
                <w:rFonts w:eastAsia="Calibri"/>
                <w:lang w:eastAsia="en-US"/>
              </w:rPr>
            </w:pPr>
          </w:p>
        </w:tc>
      </w:tr>
      <w:tr w:rsidR="005B0B73" w:rsidRPr="00F67268" w:rsidTr="007A557E">
        <w:trPr>
          <w:trHeight w:val="1275"/>
        </w:trPr>
        <w:tc>
          <w:tcPr>
            <w:tcW w:w="194" w:type="pct"/>
            <w:gridSpan w:val="2"/>
          </w:tcPr>
          <w:p w:rsidR="005B0B73" w:rsidRPr="00F67268" w:rsidRDefault="005B0B73" w:rsidP="00300A08">
            <w:pPr>
              <w:rPr>
                <w:rFonts w:eastAsia="Calibri"/>
                <w:b/>
                <w:lang w:eastAsia="en-US"/>
              </w:rPr>
            </w:pPr>
          </w:p>
        </w:tc>
        <w:tc>
          <w:tcPr>
            <w:tcW w:w="206" w:type="pct"/>
            <w:gridSpan w:val="2"/>
          </w:tcPr>
          <w:p w:rsidR="005B0B73" w:rsidRPr="00F67268" w:rsidRDefault="005B0B73" w:rsidP="00300A08">
            <w:pPr>
              <w:rPr>
                <w:rFonts w:eastAsia="Calibri"/>
                <w:b/>
                <w:lang w:eastAsia="en-US"/>
              </w:rPr>
            </w:pPr>
            <w:r w:rsidRPr="00F67268">
              <w:rPr>
                <w:rFonts w:eastAsia="Calibri"/>
                <w:b/>
                <w:lang w:eastAsia="en-US"/>
              </w:rPr>
              <w:t>II/1</w:t>
            </w:r>
          </w:p>
        </w:tc>
        <w:tc>
          <w:tcPr>
            <w:tcW w:w="262" w:type="pct"/>
            <w:gridSpan w:val="3"/>
          </w:tcPr>
          <w:p w:rsidR="005B0B73" w:rsidRPr="00F67268" w:rsidRDefault="005B0B73" w:rsidP="00300A08">
            <w:pPr>
              <w:rPr>
                <w:rFonts w:eastAsia="Calibri"/>
                <w:b/>
                <w:color w:val="4F81BD"/>
                <w:lang w:eastAsia="en-US"/>
              </w:rPr>
            </w:pPr>
          </w:p>
        </w:tc>
        <w:tc>
          <w:tcPr>
            <w:tcW w:w="794" w:type="pct"/>
            <w:gridSpan w:val="2"/>
          </w:tcPr>
          <w:p w:rsidR="005B0B73" w:rsidRPr="00026596" w:rsidRDefault="005B0B73" w:rsidP="00300A08">
            <w:pPr>
              <w:rPr>
                <w:rFonts w:eastAsia="Calibri"/>
                <w:b/>
                <w:sz w:val="22"/>
                <w:szCs w:val="22"/>
                <w:lang w:eastAsia="en-US"/>
              </w:rPr>
            </w:pPr>
            <w:r w:rsidRPr="00026596">
              <w:rPr>
                <w:rFonts w:eastAsia="Calibri"/>
                <w:b/>
                <w:sz w:val="22"/>
                <w:szCs w:val="22"/>
                <w:lang w:eastAsia="en-US"/>
              </w:rPr>
              <w:t xml:space="preserve">A belső kontrollrendszer szabályszerűségének, gazdaságosságának, hatékonyságának és eredményességének növelése, javítása érdekében tett fontosabb javaslatok (Bkr. 48. § </w:t>
            </w:r>
            <w:proofErr w:type="spellStart"/>
            <w:r w:rsidRPr="00026596">
              <w:rPr>
                <w:rFonts w:eastAsia="Calibri"/>
                <w:b/>
                <w:sz w:val="22"/>
                <w:szCs w:val="22"/>
                <w:lang w:eastAsia="en-US"/>
              </w:rPr>
              <w:t>ba</w:t>
            </w:r>
            <w:proofErr w:type="spellEnd"/>
            <w:r w:rsidRPr="00026596">
              <w:rPr>
                <w:rFonts w:eastAsia="Calibri"/>
                <w:b/>
                <w:sz w:val="22"/>
                <w:szCs w:val="22"/>
                <w:lang w:eastAsia="en-US"/>
              </w:rPr>
              <w:t>) pont)</w:t>
            </w:r>
          </w:p>
          <w:p w:rsidR="005B0B73" w:rsidRPr="00026596" w:rsidRDefault="005B0B73" w:rsidP="00300A08">
            <w:pPr>
              <w:rPr>
                <w:rFonts w:eastAsia="Calibri"/>
                <w:b/>
                <w:color w:val="4F81BD"/>
                <w:sz w:val="22"/>
                <w:szCs w:val="22"/>
                <w:lang w:eastAsia="en-US"/>
              </w:rPr>
            </w:pPr>
          </w:p>
        </w:tc>
        <w:tc>
          <w:tcPr>
            <w:tcW w:w="3544" w:type="pct"/>
          </w:tcPr>
          <w:tbl>
            <w:tblPr>
              <w:tblW w:w="9368" w:type="dxa"/>
              <w:tblInd w:w="105" w:type="dxa"/>
              <w:tblLayout w:type="fixed"/>
              <w:tblCellMar>
                <w:left w:w="70" w:type="dxa"/>
                <w:right w:w="70" w:type="dxa"/>
              </w:tblCellMar>
              <w:tblLook w:val="0000" w:firstRow="0" w:lastRow="0" w:firstColumn="0" w:lastColumn="0" w:noHBand="0" w:noVBand="0"/>
            </w:tblPr>
            <w:tblGrid>
              <w:gridCol w:w="2280"/>
              <w:gridCol w:w="3639"/>
              <w:gridCol w:w="3449"/>
            </w:tblGrid>
            <w:tr w:rsidR="007427E8" w:rsidRPr="0044525D" w:rsidTr="00BA1F11">
              <w:trPr>
                <w:trHeight w:val="242"/>
              </w:trPr>
              <w:tc>
                <w:tcPr>
                  <w:tcW w:w="2280" w:type="dxa"/>
                  <w:tcBorders>
                    <w:top w:val="single" w:sz="4" w:space="0" w:color="auto"/>
                    <w:left w:val="single" w:sz="4" w:space="0" w:color="000000"/>
                    <w:bottom w:val="single" w:sz="4" w:space="0" w:color="auto"/>
                    <w:right w:val="single" w:sz="4" w:space="0" w:color="000000"/>
                  </w:tcBorders>
                  <w:shd w:val="clear" w:color="auto" w:fill="D9D9D9"/>
                </w:tcPr>
                <w:p w:rsidR="007427E8" w:rsidRPr="0044525D" w:rsidRDefault="007427E8" w:rsidP="003161B5">
                  <w:pPr>
                    <w:spacing w:line="276" w:lineRule="auto"/>
                    <w:rPr>
                      <w:rFonts w:ascii="Calibri" w:eastAsia="Calibri" w:hAnsi="Calibri" w:cs="Calibri"/>
                      <w:i/>
                      <w:sz w:val="20"/>
                      <w:szCs w:val="20"/>
                      <w:lang w:eastAsia="en-US"/>
                    </w:rPr>
                  </w:pPr>
                  <w:r w:rsidRPr="0044525D">
                    <w:rPr>
                      <w:rFonts w:ascii="Calibri" w:eastAsia="Calibri" w:hAnsi="Calibri" w:cs="Calibri"/>
                      <w:i/>
                      <w:sz w:val="20"/>
                      <w:szCs w:val="20"/>
                      <w:lang w:eastAsia="en-US"/>
                    </w:rPr>
                    <w:t>Vizsgálat címe</w:t>
                  </w:r>
                </w:p>
              </w:tc>
              <w:tc>
                <w:tcPr>
                  <w:tcW w:w="3639" w:type="dxa"/>
                  <w:tcBorders>
                    <w:top w:val="single" w:sz="4" w:space="0" w:color="auto"/>
                    <w:left w:val="single" w:sz="4" w:space="0" w:color="000000"/>
                    <w:bottom w:val="single" w:sz="4" w:space="0" w:color="auto"/>
                    <w:right w:val="single" w:sz="4" w:space="0" w:color="auto"/>
                  </w:tcBorders>
                  <w:shd w:val="clear" w:color="auto" w:fill="D9D9D9"/>
                  <w:noWrap/>
                </w:tcPr>
                <w:p w:rsidR="007427E8" w:rsidRPr="0044525D" w:rsidRDefault="007427E8" w:rsidP="003161B5">
                  <w:pPr>
                    <w:spacing w:line="276" w:lineRule="auto"/>
                    <w:rPr>
                      <w:rFonts w:ascii="Calibri" w:eastAsia="Calibri" w:hAnsi="Calibri" w:cs="Calibri"/>
                      <w:i/>
                      <w:sz w:val="20"/>
                      <w:szCs w:val="20"/>
                      <w:lang w:eastAsia="en-US"/>
                    </w:rPr>
                  </w:pPr>
                  <w:r w:rsidRPr="0044525D">
                    <w:rPr>
                      <w:rFonts w:ascii="Calibri" w:eastAsia="Calibri" w:hAnsi="Calibri" w:cs="Calibri"/>
                      <w:i/>
                      <w:sz w:val="20"/>
                      <w:szCs w:val="20"/>
                      <w:lang w:eastAsia="en-US"/>
                    </w:rPr>
                    <w:t>Megállapítás</w:t>
                  </w:r>
                </w:p>
              </w:tc>
              <w:tc>
                <w:tcPr>
                  <w:tcW w:w="3449" w:type="dxa"/>
                  <w:tcBorders>
                    <w:top w:val="single" w:sz="4" w:space="0" w:color="auto"/>
                    <w:left w:val="single" w:sz="4" w:space="0" w:color="auto"/>
                    <w:bottom w:val="single" w:sz="4" w:space="0" w:color="auto"/>
                    <w:right w:val="single" w:sz="4" w:space="0" w:color="auto"/>
                  </w:tcBorders>
                  <w:shd w:val="clear" w:color="auto" w:fill="D9D9D9"/>
                  <w:noWrap/>
                </w:tcPr>
                <w:p w:rsidR="007427E8" w:rsidRPr="0044525D" w:rsidRDefault="007427E8" w:rsidP="003161B5">
                  <w:pPr>
                    <w:spacing w:line="276" w:lineRule="auto"/>
                    <w:rPr>
                      <w:rFonts w:ascii="Calibri" w:eastAsia="Calibri" w:hAnsi="Calibri" w:cs="Calibri"/>
                      <w:i/>
                      <w:sz w:val="20"/>
                      <w:szCs w:val="20"/>
                      <w:lang w:eastAsia="en-US"/>
                    </w:rPr>
                  </w:pPr>
                  <w:r w:rsidRPr="0044525D">
                    <w:rPr>
                      <w:rFonts w:ascii="Calibri" w:eastAsia="Calibri" w:hAnsi="Calibri" w:cs="Calibri"/>
                      <w:i/>
                      <w:sz w:val="20"/>
                      <w:szCs w:val="20"/>
                      <w:lang w:eastAsia="en-US"/>
                    </w:rPr>
                    <w:t>Javaslat</w:t>
                  </w:r>
                </w:p>
              </w:tc>
            </w:tr>
            <w:tr w:rsidR="000B0203" w:rsidRPr="007F0BD3" w:rsidTr="000B0203">
              <w:trPr>
                <w:trHeight w:val="283"/>
              </w:trPr>
              <w:tc>
                <w:tcPr>
                  <w:tcW w:w="9368" w:type="dxa"/>
                  <w:gridSpan w:val="3"/>
                  <w:tcBorders>
                    <w:top w:val="single" w:sz="4" w:space="0" w:color="auto"/>
                    <w:left w:val="single" w:sz="4" w:space="0" w:color="000000"/>
                    <w:bottom w:val="single" w:sz="4" w:space="0" w:color="auto"/>
                    <w:right w:val="single" w:sz="4" w:space="0" w:color="auto"/>
                  </w:tcBorders>
                </w:tcPr>
                <w:p w:rsidR="000B0203" w:rsidRPr="00F90686" w:rsidRDefault="000B0203" w:rsidP="00F90686">
                  <w:pPr>
                    <w:suppressAutoHyphens/>
                    <w:outlineLvl w:val="0"/>
                    <w:rPr>
                      <w:b/>
                      <w:i/>
                      <w:sz w:val="20"/>
                      <w:szCs w:val="20"/>
                    </w:rPr>
                  </w:pPr>
                  <w:r>
                    <w:rPr>
                      <w:b/>
                      <w:i/>
                      <w:sz w:val="20"/>
                      <w:szCs w:val="20"/>
                    </w:rPr>
                    <w:t>Belső ellenőrzések:</w:t>
                  </w:r>
                </w:p>
              </w:tc>
            </w:tr>
            <w:tr w:rsidR="000B0203" w:rsidRPr="007F0BD3" w:rsidTr="00BA1F11">
              <w:trPr>
                <w:trHeight w:val="411"/>
              </w:trPr>
              <w:tc>
                <w:tcPr>
                  <w:tcW w:w="2280" w:type="dxa"/>
                  <w:tcBorders>
                    <w:top w:val="single" w:sz="4" w:space="0" w:color="auto"/>
                    <w:left w:val="single" w:sz="4" w:space="0" w:color="000000"/>
                    <w:bottom w:val="single" w:sz="4" w:space="0" w:color="auto"/>
                    <w:right w:val="nil"/>
                  </w:tcBorders>
                </w:tcPr>
                <w:p w:rsidR="000B0203" w:rsidRDefault="008526C8" w:rsidP="000B0203">
                  <w:pPr>
                    <w:jc w:val="both"/>
                    <w:rPr>
                      <w:rFonts w:eastAsia="Calibri"/>
                      <w:sz w:val="20"/>
                      <w:szCs w:val="20"/>
                      <w:lang w:eastAsia="en-US"/>
                    </w:rPr>
                  </w:pPr>
                  <w:r>
                    <w:rPr>
                      <w:rFonts w:eastAsia="Calibri"/>
                      <w:sz w:val="20"/>
                      <w:szCs w:val="20"/>
                      <w:lang w:eastAsia="en-US"/>
                    </w:rPr>
                    <w:t>Gazdálkodási jogkörök gyakorlásának</w:t>
                  </w:r>
                  <w:r w:rsidR="000B0203">
                    <w:rPr>
                      <w:rFonts w:eastAsia="Calibri"/>
                      <w:sz w:val="20"/>
                      <w:szCs w:val="20"/>
                      <w:lang w:eastAsia="en-US"/>
                    </w:rPr>
                    <w:t xml:space="preserve"> vizsgálata</w:t>
                  </w:r>
                </w:p>
              </w:tc>
              <w:tc>
                <w:tcPr>
                  <w:tcW w:w="3639" w:type="dxa"/>
                  <w:tcBorders>
                    <w:top w:val="single" w:sz="4" w:space="0" w:color="auto"/>
                    <w:left w:val="single" w:sz="4" w:space="0" w:color="000000"/>
                    <w:bottom w:val="single" w:sz="4" w:space="0" w:color="auto"/>
                    <w:right w:val="single" w:sz="4" w:space="0" w:color="auto"/>
                  </w:tcBorders>
                  <w:shd w:val="clear" w:color="auto" w:fill="auto"/>
                  <w:noWrap/>
                </w:tcPr>
                <w:p w:rsidR="005C5B50" w:rsidRPr="005C5B50" w:rsidRDefault="005C5B50" w:rsidP="005C5B50">
                  <w:pPr>
                    <w:suppressAutoHyphens/>
                    <w:autoSpaceDE w:val="0"/>
                    <w:autoSpaceDN w:val="0"/>
                    <w:adjustRightInd w:val="0"/>
                    <w:jc w:val="both"/>
                    <w:rPr>
                      <w:sz w:val="16"/>
                      <w:szCs w:val="16"/>
                    </w:rPr>
                  </w:pPr>
                  <w:r w:rsidRPr="005C5B50">
                    <w:rPr>
                      <w:sz w:val="16"/>
                      <w:szCs w:val="16"/>
                    </w:rPr>
                    <w:t>A Rippl-Rónai Megyei Hatókörű Városi Múzeumnál a gazdasági események vonatkozásában ellenőriztem, hogy betartották-e a gazdálkodási jogkörök gyakorlására vonatkozó előírásokat. Megállapításaim:</w:t>
                  </w:r>
                </w:p>
                <w:p w:rsidR="005C5B50" w:rsidRPr="005C5B50" w:rsidRDefault="005C5B50" w:rsidP="005C5B50">
                  <w:pPr>
                    <w:numPr>
                      <w:ilvl w:val="0"/>
                      <w:numId w:val="18"/>
                    </w:numPr>
                    <w:suppressAutoHyphens/>
                    <w:autoSpaceDE w:val="0"/>
                    <w:autoSpaceDN w:val="0"/>
                    <w:adjustRightInd w:val="0"/>
                    <w:jc w:val="both"/>
                    <w:rPr>
                      <w:sz w:val="16"/>
                      <w:szCs w:val="16"/>
                    </w:rPr>
                  </w:pPr>
                  <w:r w:rsidRPr="005C5B50">
                    <w:rPr>
                      <w:sz w:val="16"/>
                      <w:szCs w:val="16"/>
                    </w:rPr>
                    <w:t>Az intézmény önálló kötelezettségvállalásra, pénzügyi ellenjegyzésre, érvényesítésre, teljesítés igazolásra és utalványozásra vonatkozó szabályzattal nem rendelkezik. A Kaposvári Humánszolgáltatási Gondnokság (a továbbiakban: GESZ) Kötelezettségvállalás, utalványozás, ellenjegyzés, érvényesítés rendjének szabályzata (a továbbiakban: Kötváll. szabályzat) hatálya kiterjed az intézményre is.</w:t>
                  </w:r>
                </w:p>
                <w:p w:rsidR="005C5B50" w:rsidRPr="005C5B50" w:rsidRDefault="005C5B50" w:rsidP="005C5B50">
                  <w:pPr>
                    <w:numPr>
                      <w:ilvl w:val="0"/>
                      <w:numId w:val="18"/>
                    </w:numPr>
                    <w:suppressAutoHyphens/>
                    <w:autoSpaceDE w:val="0"/>
                    <w:autoSpaceDN w:val="0"/>
                    <w:adjustRightInd w:val="0"/>
                    <w:jc w:val="both"/>
                    <w:rPr>
                      <w:sz w:val="16"/>
                      <w:szCs w:val="16"/>
                    </w:rPr>
                  </w:pPr>
                  <w:r w:rsidRPr="005C5B50">
                    <w:rPr>
                      <w:sz w:val="16"/>
                      <w:szCs w:val="16"/>
                    </w:rPr>
                    <w:t>A gazdálkodási jogkörök gyakorlására vonatkozó felhatalmazásokat – egy esetet leszámítva – elkészítették.</w:t>
                  </w:r>
                </w:p>
                <w:p w:rsidR="005C5B50" w:rsidRPr="005C5B50" w:rsidRDefault="005C5B50" w:rsidP="00732ADD">
                  <w:pPr>
                    <w:suppressAutoHyphens/>
                    <w:autoSpaceDE w:val="0"/>
                    <w:autoSpaceDN w:val="0"/>
                    <w:adjustRightInd w:val="0"/>
                    <w:ind w:left="360"/>
                    <w:jc w:val="both"/>
                    <w:rPr>
                      <w:sz w:val="16"/>
                      <w:szCs w:val="16"/>
                    </w:rPr>
                  </w:pPr>
                  <w:r w:rsidRPr="005C5B50">
                    <w:rPr>
                      <w:sz w:val="16"/>
                      <w:szCs w:val="16"/>
                    </w:rPr>
                    <w:t>A jogkör gyakorlására szóló meghatalmazások visszavonását nem minden esetben dokumentálták.</w:t>
                  </w:r>
                </w:p>
                <w:p w:rsidR="005C5B50" w:rsidRPr="005C5B50" w:rsidRDefault="005C5B50" w:rsidP="005C5B50">
                  <w:pPr>
                    <w:numPr>
                      <w:ilvl w:val="0"/>
                      <w:numId w:val="18"/>
                    </w:numPr>
                    <w:suppressAutoHyphens/>
                    <w:autoSpaceDE w:val="0"/>
                    <w:autoSpaceDN w:val="0"/>
                    <w:adjustRightInd w:val="0"/>
                    <w:jc w:val="both"/>
                    <w:rPr>
                      <w:sz w:val="16"/>
                      <w:szCs w:val="16"/>
                    </w:rPr>
                  </w:pPr>
                  <w:r w:rsidRPr="005C5B50">
                    <w:rPr>
                      <w:sz w:val="16"/>
                      <w:szCs w:val="16"/>
                    </w:rPr>
                    <w:t>A Kötváll. szabályzatban nem került rögzítésre, hogy a gazdálkodási jogkör gyakorlásánál a mellékletben szereplő hosszú vagy rövid (szignó) aláírást kell használni.</w:t>
                  </w:r>
                </w:p>
                <w:p w:rsidR="005C5B50" w:rsidRPr="005C5B50" w:rsidRDefault="005C5B50" w:rsidP="005C5B50">
                  <w:pPr>
                    <w:numPr>
                      <w:ilvl w:val="0"/>
                      <w:numId w:val="18"/>
                    </w:numPr>
                    <w:suppressAutoHyphens/>
                    <w:autoSpaceDE w:val="0"/>
                    <w:autoSpaceDN w:val="0"/>
                    <w:adjustRightInd w:val="0"/>
                    <w:jc w:val="both"/>
                    <w:rPr>
                      <w:sz w:val="16"/>
                      <w:szCs w:val="16"/>
                    </w:rPr>
                  </w:pPr>
                  <w:r w:rsidRPr="005C5B50">
                    <w:rPr>
                      <w:sz w:val="16"/>
                      <w:szCs w:val="16"/>
                    </w:rPr>
                    <w:t>A gazdálkodási jogkörökről vezetett nyilvántartás nem tartalmazta valamennyi érvényesítőt, illetve teljesítést igazolót. A nyilvántartáson szereplő aláírás minta nem minden esetben egyezik meg a meghatalmazáson lévő kézjeggyel, illetve a használt aláírással.</w:t>
                  </w:r>
                </w:p>
                <w:p w:rsidR="005C5B50" w:rsidRPr="005C5B50" w:rsidRDefault="005C5B50" w:rsidP="005C5B50">
                  <w:pPr>
                    <w:numPr>
                      <w:ilvl w:val="0"/>
                      <w:numId w:val="18"/>
                    </w:numPr>
                    <w:suppressAutoHyphens/>
                    <w:autoSpaceDE w:val="0"/>
                    <w:autoSpaceDN w:val="0"/>
                    <w:adjustRightInd w:val="0"/>
                    <w:jc w:val="both"/>
                    <w:rPr>
                      <w:sz w:val="16"/>
                      <w:szCs w:val="16"/>
                    </w:rPr>
                  </w:pPr>
                  <w:r w:rsidRPr="005C5B50">
                    <w:rPr>
                      <w:sz w:val="16"/>
                      <w:szCs w:val="16"/>
                    </w:rPr>
                    <w:lastRenderedPageBreak/>
                    <w:t>A Kötváll. szabályzat nem tartalmazta, hogy az érvényesítést hol kell elvégezni.</w:t>
                  </w:r>
                </w:p>
                <w:p w:rsidR="005C5B50" w:rsidRPr="005C5B50" w:rsidRDefault="005C5B50" w:rsidP="005C5B50">
                  <w:pPr>
                    <w:numPr>
                      <w:ilvl w:val="0"/>
                      <w:numId w:val="18"/>
                    </w:numPr>
                    <w:suppressAutoHyphens/>
                    <w:autoSpaceDE w:val="0"/>
                    <w:autoSpaceDN w:val="0"/>
                    <w:adjustRightInd w:val="0"/>
                    <w:jc w:val="both"/>
                    <w:rPr>
                      <w:sz w:val="16"/>
                      <w:szCs w:val="16"/>
                    </w:rPr>
                  </w:pPr>
                  <w:r w:rsidRPr="005C5B50">
                    <w:rPr>
                      <w:sz w:val="16"/>
                      <w:szCs w:val="16"/>
                    </w:rPr>
                    <w:t>A Kötváll. szabályzat nem tartalmazta, hogy az előzetes írásbeli kötelezettségvállalást nem igénylő kifizetések esetében a kötelezettségvállalást hol kell elvégezni.</w:t>
                  </w:r>
                </w:p>
                <w:p w:rsidR="005C5B50" w:rsidRPr="005C5B50" w:rsidRDefault="005C5B50" w:rsidP="005C5B50">
                  <w:pPr>
                    <w:numPr>
                      <w:ilvl w:val="0"/>
                      <w:numId w:val="18"/>
                    </w:numPr>
                    <w:suppressAutoHyphens/>
                    <w:autoSpaceDE w:val="0"/>
                    <w:autoSpaceDN w:val="0"/>
                    <w:adjustRightInd w:val="0"/>
                    <w:jc w:val="both"/>
                    <w:rPr>
                      <w:sz w:val="16"/>
                      <w:szCs w:val="16"/>
                    </w:rPr>
                  </w:pPr>
                  <w:r w:rsidRPr="005C5B50">
                    <w:rPr>
                      <w:sz w:val="16"/>
                      <w:szCs w:val="16"/>
                    </w:rPr>
                    <w:t xml:space="preserve">A használt Utalványok nem teljes körűen felelnek meg az </w:t>
                  </w:r>
                  <w:proofErr w:type="spellStart"/>
                  <w:r w:rsidRPr="005C5B50">
                    <w:rPr>
                      <w:sz w:val="16"/>
                      <w:szCs w:val="16"/>
                    </w:rPr>
                    <w:t>Ávr</w:t>
                  </w:r>
                  <w:proofErr w:type="spellEnd"/>
                  <w:r w:rsidRPr="005C5B50">
                    <w:rPr>
                      <w:sz w:val="16"/>
                      <w:szCs w:val="16"/>
                    </w:rPr>
                    <w:t>. 59. §. (3) bekezdésében illetve a Kötváll. szabályzatban rögzített feltételeknek.</w:t>
                  </w:r>
                </w:p>
                <w:p w:rsidR="005C5B50" w:rsidRPr="005C5B50" w:rsidRDefault="005C5B50" w:rsidP="005C5B50">
                  <w:pPr>
                    <w:numPr>
                      <w:ilvl w:val="0"/>
                      <w:numId w:val="18"/>
                    </w:numPr>
                    <w:suppressAutoHyphens/>
                    <w:autoSpaceDE w:val="0"/>
                    <w:autoSpaceDN w:val="0"/>
                    <w:adjustRightInd w:val="0"/>
                    <w:jc w:val="both"/>
                    <w:rPr>
                      <w:sz w:val="16"/>
                      <w:szCs w:val="16"/>
                    </w:rPr>
                  </w:pPr>
                  <w:r w:rsidRPr="005C5B50">
                    <w:rPr>
                      <w:sz w:val="16"/>
                      <w:szCs w:val="16"/>
                    </w:rPr>
                    <w:t>Az intézmény által a teljesítés igazolására és az utalványozásra használt „Kiegészítő utalvány” használata nincsen szabályozva.</w:t>
                  </w:r>
                </w:p>
                <w:p w:rsidR="005C5B50" w:rsidRPr="005C5B50" w:rsidRDefault="005C5B50" w:rsidP="005C5B50">
                  <w:pPr>
                    <w:numPr>
                      <w:ilvl w:val="0"/>
                      <w:numId w:val="18"/>
                    </w:numPr>
                    <w:suppressAutoHyphens/>
                    <w:autoSpaceDE w:val="0"/>
                    <w:autoSpaceDN w:val="0"/>
                    <w:adjustRightInd w:val="0"/>
                    <w:jc w:val="both"/>
                    <w:rPr>
                      <w:sz w:val="16"/>
                      <w:szCs w:val="16"/>
                    </w:rPr>
                  </w:pPr>
                  <w:r w:rsidRPr="005C5B50">
                    <w:rPr>
                      <w:sz w:val="16"/>
                      <w:szCs w:val="16"/>
                    </w:rPr>
                    <w:t xml:space="preserve">A vizsgált időszakban érvényben lévő a GESZ és a </w:t>
                  </w:r>
                  <w:proofErr w:type="spellStart"/>
                  <w:r w:rsidRPr="005C5B50">
                    <w:rPr>
                      <w:sz w:val="16"/>
                      <w:szCs w:val="16"/>
                    </w:rPr>
                    <w:t>Rippl-R</w:t>
                  </w:r>
                  <w:proofErr w:type="spellEnd"/>
                  <w:r w:rsidRPr="005C5B50">
                    <w:rPr>
                      <w:sz w:val="16"/>
                      <w:szCs w:val="16"/>
                    </w:rPr>
                    <w:t>. Múzeum közötti Munkamegosztási megállapodásban szereplő értékhatárok nincsenek összhangban a Kötváll. szabályzatban rögzített értékhatárokkal. A 2017. szeptember 29-ei Közgyűlés által elfogadott új Munkamegosztási megállapodásban már a Kötváll. szabályzatban rögzített értékhatárok szerepelnek.</w:t>
                  </w:r>
                </w:p>
                <w:p w:rsidR="005C5B50" w:rsidRPr="005C5B50" w:rsidRDefault="005C5B50" w:rsidP="00732ADD">
                  <w:pPr>
                    <w:suppressAutoHyphens/>
                    <w:autoSpaceDE w:val="0"/>
                    <w:autoSpaceDN w:val="0"/>
                    <w:adjustRightInd w:val="0"/>
                    <w:ind w:left="360"/>
                    <w:jc w:val="both"/>
                    <w:rPr>
                      <w:sz w:val="16"/>
                      <w:szCs w:val="16"/>
                    </w:rPr>
                  </w:pPr>
                  <w:r w:rsidRPr="005C5B50">
                    <w:rPr>
                      <w:sz w:val="16"/>
                      <w:szCs w:val="16"/>
                    </w:rPr>
                    <w:t>A 2017. szeptember 29-én elfogadott új Munkamegosztási megállapodás többször helytelenül tartalmazott jogszabály megjelölést; több pontban felcserélődtek a GESZ illetve az intézmény feladatai; a megállapodásban leírtakkal ellentétben az ügyrend nem tartalmazza az 50 ezer forint feletti kötelezettségvállalások ellenjegyzésének nyomtatványát; a GESZ feladatai kötött még szerepelt az „utalványozás ellenjegyzése”, mely már nincsen jogszabályilag feladatként kijelölve, ellenben a gyakorlatban is alkalmazták.</w:t>
                  </w:r>
                </w:p>
                <w:p w:rsidR="005C5B50" w:rsidRPr="005C5B50" w:rsidRDefault="005C5B50" w:rsidP="005C5B50">
                  <w:pPr>
                    <w:numPr>
                      <w:ilvl w:val="0"/>
                      <w:numId w:val="18"/>
                    </w:numPr>
                    <w:suppressAutoHyphens/>
                    <w:autoSpaceDE w:val="0"/>
                    <w:autoSpaceDN w:val="0"/>
                    <w:adjustRightInd w:val="0"/>
                    <w:jc w:val="both"/>
                    <w:rPr>
                      <w:sz w:val="16"/>
                      <w:szCs w:val="16"/>
                    </w:rPr>
                  </w:pPr>
                  <w:r w:rsidRPr="005C5B50">
                    <w:rPr>
                      <w:sz w:val="16"/>
                      <w:szCs w:val="16"/>
                    </w:rPr>
                    <w:t>A pénzforgalom és a pénzkezelés folyamán a GESZ Pénzkezelési szabályzatában foglaltakat követik, melynek hatálya nem került az intézményre kiterjesztésre.</w:t>
                  </w:r>
                </w:p>
                <w:p w:rsidR="005C5B50" w:rsidRPr="005C5B50" w:rsidRDefault="005C5B50" w:rsidP="005C5B50">
                  <w:pPr>
                    <w:numPr>
                      <w:ilvl w:val="0"/>
                      <w:numId w:val="18"/>
                    </w:numPr>
                    <w:suppressAutoHyphens/>
                    <w:autoSpaceDE w:val="0"/>
                    <w:autoSpaceDN w:val="0"/>
                    <w:adjustRightInd w:val="0"/>
                    <w:jc w:val="both"/>
                    <w:rPr>
                      <w:sz w:val="16"/>
                      <w:szCs w:val="16"/>
                    </w:rPr>
                  </w:pPr>
                  <w:r w:rsidRPr="005C5B50">
                    <w:rPr>
                      <w:sz w:val="16"/>
                      <w:szCs w:val="16"/>
                    </w:rPr>
                    <w:t>A Pénzkezelési szabályzat nem tartalmazta az utalványozási joggal rendelkező személyek nevét, beosztását, utalványozási területét és a maximálisan utalványozható összegét tartalmazó 2. sz. mellékletet. A GESZ pénztárában a 2. sz. melléklet helyett a Kötváll. szabályzat „Nyilvántartás az utalványozásra jogosult személyekről” elnevezésű nyomtatvány került kifüggesztésre.</w:t>
                  </w:r>
                </w:p>
                <w:p w:rsidR="005C5B50" w:rsidRPr="005C5B50" w:rsidRDefault="005C5B50" w:rsidP="005C5B50">
                  <w:pPr>
                    <w:numPr>
                      <w:ilvl w:val="0"/>
                      <w:numId w:val="18"/>
                    </w:numPr>
                    <w:suppressAutoHyphens/>
                    <w:autoSpaceDE w:val="0"/>
                    <w:autoSpaceDN w:val="0"/>
                    <w:adjustRightInd w:val="0"/>
                    <w:jc w:val="both"/>
                    <w:rPr>
                      <w:sz w:val="16"/>
                      <w:szCs w:val="16"/>
                    </w:rPr>
                  </w:pPr>
                  <w:r w:rsidRPr="005C5B50">
                    <w:rPr>
                      <w:sz w:val="16"/>
                      <w:szCs w:val="16"/>
                    </w:rPr>
                    <w:t>A Pénzkezelési szabályzat nem tartalmazta a pénzügyi ellenjegyző kijelölését.</w:t>
                  </w:r>
                </w:p>
                <w:p w:rsidR="005C5B50" w:rsidRPr="005C5B50" w:rsidRDefault="005C5B50" w:rsidP="005C5B50">
                  <w:pPr>
                    <w:numPr>
                      <w:ilvl w:val="0"/>
                      <w:numId w:val="18"/>
                    </w:numPr>
                    <w:suppressAutoHyphens/>
                    <w:autoSpaceDE w:val="0"/>
                    <w:autoSpaceDN w:val="0"/>
                    <w:adjustRightInd w:val="0"/>
                    <w:jc w:val="both"/>
                    <w:rPr>
                      <w:sz w:val="16"/>
                      <w:szCs w:val="16"/>
                    </w:rPr>
                  </w:pPr>
                  <w:r w:rsidRPr="005C5B50">
                    <w:rPr>
                      <w:sz w:val="16"/>
                      <w:szCs w:val="16"/>
                    </w:rPr>
                    <w:lastRenderedPageBreak/>
                    <w:t>A gazdálkodási jogkörökkel kapcsolatos megállapítások:</w:t>
                  </w:r>
                </w:p>
                <w:p w:rsidR="005C5B50" w:rsidRPr="005C5B50" w:rsidRDefault="005C5B50" w:rsidP="005C5B50">
                  <w:pPr>
                    <w:numPr>
                      <w:ilvl w:val="0"/>
                      <w:numId w:val="19"/>
                    </w:numPr>
                    <w:suppressAutoHyphens/>
                    <w:autoSpaceDE w:val="0"/>
                    <w:autoSpaceDN w:val="0"/>
                    <w:adjustRightInd w:val="0"/>
                    <w:jc w:val="both"/>
                    <w:rPr>
                      <w:sz w:val="16"/>
                      <w:szCs w:val="16"/>
                    </w:rPr>
                  </w:pPr>
                  <w:r w:rsidRPr="005C5B50">
                    <w:rPr>
                      <w:sz w:val="16"/>
                      <w:szCs w:val="16"/>
                    </w:rPr>
                    <w:t>A vizsgált pénzmozgások átadott dokumentációja nem minden esetben tartalmazta a kötelezettségvállalás dokumentumát. Több esetben a kötelezettségvállalás nem tartalmazta a keltezést.</w:t>
                  </w:r>
                </w:p>
                <w:p w:rsidR="005C5B50" w:rsidRPr="005C5B50" w:rsidRDefault="005C5B50" w:rsidP="005C5B50">
                  <w:pPr>
                    <w:numPr>
                      <w:ilvl w:val="0"/>
                      <w:numId w:val="19"/>
                    </w:numPr>
                    <w:suppressAutoHyphens/>
                    <w:autoSpaceDE w:val="0"/>
                    <w:autoSpaceDN w:val="0"/>
                    <w:adjustRightInd w:val="0"/>
                    <w:jc w:val="both"/>
                    <w:rPr>
                      <w:sz w:val="16"/>
                      <w:szCs w:val="16"/>
                    </w:rPr>
                  </w:pPr>
                  <w:r w:rsidRPr="005C5B50">
                    <w:rPr>
                      <w:sz w:val="16"/>
                      <w:szCs w:val="16"/>
                    </w:rPr>
                    <w:t>A 2017. évi kötelezettségvállalások pénzügyi ellenjegyzésénél az átadott dokumentáció több esetben nem tartalmazta a kötelezettségvállalás dokumentumát, így annak pénzügyi ellenjegyzéséről nem tudtunk meggyőződni. Több esetben a pénzügyi ellenjegyzés nem tartalmazta a keltezést.</w:t>
                  </w:r>
                </w:p>
                <w:p w:rsidR="005C5B50" w:rsidRPr="005C5B50" w:rsidRDefault="005C5B50" w:rsidP="005C5B50">
                  <w:pPr>
                    <w:numPr>
                      <w:ilvl w:val="0"/>
                      <w:numId w:val="19"/>
                    </w:numPr>
                    <w:suppressAutoHyphens/>
                    <w:autoSpaceDE w:val="0"/>
                    <w:autoSpaceDN w:val="0"/>
                    <w:adjustRightInd w:val="0"/>
                    <w:jc w:val="both"/>
                    <w:rPr>
                      <w:sz w:val="16"/>
                      <w:szCs w:val="16"/>
                    </w:rPr>
                  </w:pPr>
                  <w:r w:rsidRPr="005C5B50">
                    <w:rPr>
                      <w:sz w:val="16"/>
                      <w:szCs w:val="16"/>
                    </w:rPr>
                    <w:t>A gazdasági események teljesítés igazolása egy esetet leszámítva megtörtént a szükséges esetekben, azonban az aláírás több esetben nem egyezik meg a Kötváll. szabályzatban lévő aláírás mintákkal, így nem beazonosítható, hogy e gazdálkodási jogkört kik gyakorolták.</w:t>
                  </w:r>
                </w:p>
                <w:p w:rsidR="005C5B50" w:rsidRPr="005C5B50" w:rsidRDefault="005C5B50" w:rsidP="005C5B50">
                  <w:pPr>
                    <w:numPr>
                      <w:ilvl w:val="0"/>
                      <w:numId w:val="19"/>
                    </w:numPr>
                    <w:suppressAutoHyphens/>
                    <w:autoSpaceDE w:val="0"/>
                    <w:autoSpaceDN w:val="0"/>
                    <w:adjustRightInd w:val="0"/>
                    <w:jc w:val="both"/>
                    <w:rPr>
                      <w:sz w:val="16"/>
                      <w:szCs w:val="16"/>
                    </w:rPr>
                  </w:pPr>
                  <w:r w:rsidRPr="005C5B50">
                    <w:rPr>
                      <w:sz w:val="16"/>
                      <w:szCs w:val="16"/>
                    </w:rPr>
                    <w:t>A nem készpénzes pénzforgalomnál megtörtént az érvényesítés, azonban az aláírás több esetben nem egyezik meg a Kötváll. szabályzatban lévő aláírás mintákkal, így nem beazonosítható, hogy e gazdálkodási jogkört kik gyakorolták.</w:t>
                  </w:r>
                </w:p>
                <w:p w:rsidR="005C5B50" w:rsidRPr="005C5B50" w:rsidRDefault="005C5B50" w:rsidP="00732ADD">
                  <w:pPr>
                    <w:suppressAutoHyphens/>
                    <w:autoSpaceDE w:val="0"/>
                    <w:autoSpaceDN w:val="0"/>
                    <w:adjustRightInd w:val="0"/>
                    <w:ind w:left="680"/>
                    <w:jc w:val="both"/>
                    <w:rPr>
                      <w:sz w:val="16"/>
                      <w:szCs w:val="16"/>
                    </w:rPr>
                  </w:pPr>
                  <w:r w:rsidRPr="005C5B50">
                    <w:rPr>
                      <w:sz w:val="16"/>
                      <w:szCs w:val="16"/>
                    </w:rPr>
                    <w:t>Sok esetben az érvényesítés keltezést nem tartalmazott.</w:t>
                  </w:r>
                </w:p>
                <w:p w:rsidR="005C5B50" w:rsidRPr="005C5B50" w:rsidRDefault="005C5B50" w:rsidP="00732ADD">
                  <w:pPr>
                    <w:suppressAutoHyphens/>
                    <w:autoSpaceDE w:val="0"/>
                    <w:autoSpaceDN w:val="0"/>
                    <w:adjustRightInd w:val="0"/>
                    <w:ind w:left="680"/>
                    <w:jc w:val="both"/>
                    <w:rPr>
                      <w:sz w:val="16"/>
                      <w:szCs w:val="16"/>
                    </w:rPr>
                  </w:pPr>
                  <w:r w:rsidRPr="005C5B50">
                    <w:rPr>
                      <w:sz w:val="16"/>
                      <w:szCs w:val="16"/>
                    </w:rPr>
                    <w:t>A pénztárbizonylatok minden esetben tartalmazták az érvényesítők aláírását, azonban az aláírás több esetben nem egyezik meg a Kötváll. szabályzatban lévő aláírás mintákkal, így nem beazonosítható, hogy e gazdálkodási jogkört kik gyakorolták.</w:t>
                  </w:r>
                </w:p>
                <w:p w:rsidR="005C5B50" w:rsidRPr="005C5B50" w:rsidRDefault="005C5B50" w:rsidP="00732ADD">
                  <w:pPr>
                    <w:suppressAutoHyphens/>
                    <w:autoSpaceDE w:val="0"/>
                    <w:autoSpaceDN w:val="0"/>
                    <w:adjustRightInd w:val="0"/>
                    <w:ind w:left="680"/>
                    <w:jc w:val="both"/>
                    <w:rPr>
                      <w:sz w:val="16"/>
                      <w:szCs w:val="16"/>
                    </w:rPr>
                  </w:pPr>
                  <w:r w:rsidRPr="005C5B50">
                    <w:rPr>
                      <w:sz w:val="16"/>
                      <w:szCs w:val="16"/>
                    </w:rPr>
                    <w:t>A pénztárbizonylatok keltezést nem tartalmaztak.</w:t>
                  </w:r>
                </w:p>
                <w:p w:rsidR="005C5B50" w:rsidRPr="005C5B50" w:rsidRDefault="005C5B50" w:rsidP="005C5B50">
                  <w:pPr>
                    <w:numPr>
                      <w:ilvl w:val="0"/>
                      <w:numId w:val="19"/>
                    </w:numPr>
                    <w:suppressAutoHyphens/>
                    <w:autoSpaceDE w:val="0"/>
                    <w:autoSpaceDN w:val="0"/>
                    <w:adjustRightInd w:val="0"/>
                    <w:jc w:val="both"/>
                    <w:rPr>
                      <w:sz w:val="16"/>
                      <w:szCs w:val="16"/>
                    </w:rPr>
                  </w:pPr>
                  <w:r w:rsidRPr="005C5B50">
                    <w:rPr>
                      <w:sz w:val="16"/>
                      <w:szCs w:val="16"/>
                    </w:rPr>
                    <w:t>A nem készpénzes pénzforgalomnál egy esetben nem történt meg az utalványozás, több esetben pedig Utalvány/Kiegészítő utalvány nem készült. A bevételek utalványozása keltezést több esetben nem tartalmazott.</w:t>
                  </w:r>
                </w:p>
                <w:p w:rsidR="005C5B50" w:rsidRPr="005C5B50" w:rsidRDefault="005C5B50" w:rsidP="00732ADD">
                  <w:pPr>
                    <w:suppressAutoHyphens/>
                    <w:autoSpaceDE w:val="0"/>
                    <w:autoSpaceDN w:val="0"/>
                    <w:adjustRightInd w:val="0"/>
                    <w:ind w:left="680"/>
                    <w:jc w:val="both"/>
                    <w:rPr>
                      <w:sz w:val="16"/>
                      <w:szCs w:val="16"/>
                    </w:rPr>
                  </w:pPr>
                  <w:r w:rsidRPr="005C5B50">
                    <w:rPr>
                      <w:sz w:val="16"/>
                      <w:szCs w:val="16"/>
                    </w:rPr>
                    <w:t>Több esetben előfordult, hogy az Utalványon/Kiegészítő utalványon a javítást nem szabályosan végezték el.</w:t>
                  </w:r>
                </w:p>
                <w:p w:rsidR="005C5B50" w:rsidRPr="005C5B50" w:rsidRDefault="005C5B50" w:rsidP="00732ADD">
                  <w:pPr>
                    <w:suppressAutoHyphens/>
                    <w:autoSpaceDE w:val="0"/>
                    <w:autoSpaceDN w:val="0"/>
                    <w:adjustRightInd w:val="0"/>
                    <w:ind w:left="680"/>
                    <w:jc w:val="both"/>
                    <w:rPr>
                      <w:sz w:val="16"/>
                      <w:szCs w:val="16"/>
                    </w:rPr>
                  </w:pPr>
                  <w:r w:rsidRPr="005C5B50">
                    <w:rPr>
                      <w:sz w:val="16"/>
                      <w:szCs w:val="16"/>
                    </w:rPr>
                    <w:lastRenderedPageBreak/>
                    <w:t>A pénztárbizonylatok egyik esetben sem tartalmazták az utalványozó aláírását, a keltezését.</w:t>
                  </w:r>
                </w:p>
                <w:p w:rsidR="005C5B50" w:rsidRPr="005C5B50" w:rsidRDefault="005C5B50" w:rsidP="00732ADD">
                  <w:pPr>
                    <w:suppressAutoHyphens/>
                    <w:autoSpaceDE w:val="0"/>
                    <w:autoSpaceDN w:val="0"/>
                    <w:adjustRightInd w:val="0"/>
                    <w:ind w:left="680"/>
                    <w:jc w:val="both"/>
                    <w:rPr>
                      <w:sz w:val="16"/>
                      <w:szCs w:val="16"/>
                    </w:rPr>
                  </w:pPr>
                  <w:r w:rsidRPr="005C5B50">
                    <w:rPr>
                      <w:sz w:val="16"/>
                      <w:szCs w:val="16"/>
                    </w:rPr>
                    <w:t>(A készpénzes bevételekhez készített Utalványon egy esetben sem szerepelt az utalványozó aláírása, keltezés. A készpénzes kiadásokhoz készített Utalványon egyik esetben sem szerepel az utalványozó aláírása, keltezése; a Kiegészítő utalványon 3 pénztári napot leszámítva megtörtént az utalványozás.)</w:t>
                  </w:r>
                </w:p>
                <w:p w:rsidR="000B0203" w:rsidRPr="005A06B3" w:rsidRDefault="000B0203" w:rsidP="00B1609C">
                  <w:pPr>
                    <w:suppressAutoHyphens/>
                    <w:autoSpaceDE w:val="0"/>
                    <w:autoSpaceDN w:val="0"/>
                    <w:adjustRightInd w:val="0"/>
                    <w:ind w:left="680"/>
                    <w:jc w:val="both"/>
                    <w:rPr>
                      <w:sz w:val="16"/>
                      <w:szCs w:val="16"/>
                    </w:rPr>
                  </w:pPr>
                </w:p>
              </w:tc>
              <w:tc>
                <w:tcPr>
                  <w:tcW w:w="3449" w:type="dxa"/>
                  <w:tcBorders>
                    <w:top w:val="single" w:sz="4" w:space="0" w:color="auto"/>
                    <w:left w:val="single" w:sz="4" w:space="0" w:color="auto"/>
                    <w:bottom w:val="single" w:sz="4" w:space="0" w:color="auto"/>
                    <w:right w:val="single" w:sz="4" w:space="0" w:color="auto"/>
                  </w:tcBorders>
                  <w:shd w:val="clear" w:color="auto" w:fill="auto"/>
                  <w:noWrap/>
                </w:tcPr>
                <w:p w:rsidR="00732ADD" w:rsidRPr="00732ADD" w:rsidRDefault="00732ADD" w:rsidP="00732ADD">
                  <w:pPr>
                    <w:suppressAutoHyphens/>
                    <w:jc w:val="both"/>
                    <w:outlineLvl w:val="0"/>
                    <w:rPr>
                      <w:rFonts w:eastAsia="Calibri"/>
                      <w:b/>
                      <w:i/>
                      <w:sz w:val="16"/>
                      <w:szCs w:val="16"/>
                      <w:lang w:eastAsia="en-US"/>
                    </w:rPr>
                  </w:pPr>
                  <w:r w:rsidRPr="00732ADD">
                    <w:rPr>
                      <w:rFonts w:eastAsia="Calibri"/>
                      <w:b/>
                      <w:i/>
                      <w:sz w:val="16"/>
                      <w:szCs w:val="16"/>
                      <w:lang w:eastAsia="en-US"/>
                    </w:rPr>
                    <w:lastRenderedPageBreak/>
                    <w:t>Javaslatok a. Múzeum részére</w:t>
                  </w:r>
                </w:p>
                <w:p w:rsidR="00732ADD" w:rsidRPr="00732ADD" w:rsidRDefault="00732ADD" w:rsidP="00732ADD">
                  <w:pPr>
                    <w:suppressAutoHyphens/>
                    <w:jc w:val="both"/>
                    <w:outlineLvl w:val="0"/>
                    <w:rPr>
                      <w:rFonts w:eastAsia="Calibri"/>
                      <w:b/>
                      <w:i/>
                      <w:sz w:val="16"/>
                      <w:szCs w:val="16"/>
                      <w:lang w:eastAsia="en-US"/>
                    </w:rPr>
                  </w:pPr>
                  <w:r w:rsidRPr="00732ADD">
                    <w:rPr>
                      <w:rFonts w:eastAsia="Calibri"/>
                      <w:b/>
                      <w:i/>
                      <w:sz w:val="16"/>
                      <w:szCs w:val="16"/>
                      <w:lang w:eastAsia="en-US"/>
                    </w:rPr>
                    <w:t>Kiemelt jelentőségű javaslatok:</w:t>
                  </w:r>
                </w:p>
                <w:p w:rsidR="00732ADD" w:rsidRPr="00732ADD" w:rsidRDefault="00732ADD" w:rsidP="00732ADD">
                  <w:pPr>
                    <w:numPr>
                      <w:ilvl w:val="0"/>
                      <w:numId w:val="15"/>
                    </w:numPr>
                    <w:tabs>
                      <w:tab w:val="num" w:pos="357"/>
                    </w:tabs>
                    <w:suppressAutoHyphens/>
                    <w:jc w:val="both"/>
                    <w:outlineLvl w:val="0"/>
                    <w:rPr>
                      <w:rFonts w:eastAsia="Calibri"/>
                      <w:sz w:val="16"/>
                      <w:szCs w:val="16"/>
                      <w:lang w:eastAsia="en-US"/>
                    </w:rPr>
                  </w:pPr>
                  <w:r w:rsidRPr="00732ADD">
                    <w:rPr>
                      <w:rFonts w:eastAsia="Calibri"/>
                      <w:sz w:val="16"/>
                      <w:szCs w:val="16"/>
                      <w:lang w:eastAsia="en-US"/>
                    </w:rPr>
                    <w:t>A gazdálkodási jogkörök gyakorlására vonatkozó felhatalmazásokat teljes körűen készítsék el.</w:t>
                  </w:r>
                </w:p>
                <w:p w:rsidR="00732ADD" w:rsidRPr="00732ADD" w:rsidRDefault="00732ADD" w:rsidP="00732ADD">
                  <w:pPr>
                    <w:numPr>
                      <w:ilvl w:val="0"/>
                      <w:numId w:val="15"/>
                    </w:numPr>
                    <w:tabs>
                      <w:tab w:val="num" w:pos="357"/>
                    </w:tabs>
                    <w:suppressAutoHyphens/>
                    <w:jc w:val="both"/>
                    <w:outlineLvl w:val="0"/>
                    <w:rPr>
                      <w:rFonts w:eastAsia="Calibri"/>
                      <w:sz w:val="16"/>
                      <w:szCs w:val="16"/>
                      <w:lang w:eastAsia="en-US"/>
                    </w:rPr>
                  </w:pPr>
                  <w:r w:rsidRPr="00732ADD">
                    <w:rPr>
                      <w:rFonts w:eastAsia="Calibri"/>
                      <w:sz w:val="16"/>
                      <w:szCs w:val="16"/>
                      <w:lang w:eastAsia="en-US"/>
                    </w:rPr>
                    <w:t>A jogkör gyakorlására szóló meghatalmazások visszavonását minden esetben dokumentálják a Kötváll. szabályzat mellékletében szereplő minta alapján.</w:t>
                  </w:r>
                </w:p>
                <w:p w:rsidR="00732ADD" w:rsidRPr="00732ADD" w:rsidRDefault="00732ADD" w:rsidP="00732ADD">
                  <w:pPr>
                    <w:numPr>
                      <w:ilvl w:val="0"/>
                      <w:numId w:val="15"/>
                    </w:numPr>
                    <w:tabs>
                      <w:tab w:val="num" w:pos="357"/>
                    </w:tabs>
                    <w:suppressAutoHyphens/>
                    <w:jc w:val="both"/>
                    <w:outlineLvl w:val="0"/>
                    <w:rPr>
                      <w:rFonts w:eastAsia="Calibri"/>
                      <w:sz w:val="16"/>
                      <w:szCs w:val="16"/>
                      <w:lang w:eastAsia="en-US"/>
                    </w:rPr>
                  </w:pPr>
                  <w:r w:rsidRPr="00732ADD">
                    <w:rPr>
                      <w:rFonts w:eastAsia="Calibri"/>
                      <w:sz w:val="16"/>
                      <w:szCs w:val="16"/>
                      <w:lang w:eastAsia="en-US"/>
                    </w:rPr>
                    <w:t>Gondoskodjanak róla, hogy valamennyi gazdasági eseménynél megtörténjen a kötelezettségvállalás, a teljesítés igazolás és az utalványozás (keltezés és aláírás).</w:t>
                  </w:r>
                </w:p>
                <w:p w:rsidR="00732ADD" w:rsidRPr="00732ADD" w:rsidRDefault="00732ADD" w:rsidP="00732ADD">
                  <w:pPr>
                    <w:numPr>
                      <w:ilvl w:val="0"/>
                      <w:numId w:val="15"/>
                    </w:numPr>
                    <w:tabs>
                      <w:tab w:val="num" w:pos="357"/>
                    </w:tabs>
                    <w:suppressAutoHyphens/>
                    <w:jc w:val="both"/>
                    <w:outlineLvl w:val="0"/>
                    <w:rPr>
                      <w:rFonts w:eastAsia="Calibri"/>
                      <w:sz w:val="16"/>
                      <w:szCs w:val="16"/>
                      <w:lang w:eastAsia="en-US"/>
                    </w:rPr>
                  </w:pPr>
                  <w:r w:rsidRPr="00732ADD">
                    <w:rPr>
                      <w:rFonts w:eastAsia="Calibri"/>
                      <w:sz w:val="16"/>
                      <w:szCs w:val="16"/>
                      <w:lang w:eastAsia="en-US"/>
                    </w:rPr>
                    <w:t>Gondoskodjanak róla, hogy a Kiegészítő utalványon szabályosan történjen meg a javítás.</w:t>
                  </w:r>
                </w:p>
                <w:p w:rsidR="00732ADD" w:rsidRPr="00732ADD" w:rsidRDefault="00732ADD" w:rsidP="00732ADD">
                  <w:pPr>
                    <w:numPr>
                      <w:ilvl w:val="0"/>
                      <w:numId w:val="15"/>
                    </w:numPr>
                    <w:tabs>
                      <w:tab w:val="num" w:pos="357"/>
                    </w:tabs>
                    <w:suppressAutoHyphens/>
                    <w:jc w:val="both"/>
                    <w:outlineLvl w:val="0"/>
                    <w:rPr>
                      <w:rFonts w:eastAsia="Calibri"/>
                      <w:sz w:val="16"/>
                      <w:szCs w:val="16"/>
                      <w:lang w:eastAsia="en-US"/>
                    </w:rPr>
                  </w:pPr>
                  <w:r w:rsidRPr="00732ADD">
                    <w:rPr>
                      <w:rFonts w:eastAsia="Calibri"/>
                      <w:sz w:val="16"/>
                      <w:szCs w:val="16"/>
                      <w:lang w:eastAsia="en-US"/>
                    </w:rPr>
                    <w:t>A nyilvántartásban lévő aláírás minta, a meghatalmazáson lévő aláírás és a jogkör gyakorlásakor használt aláírás egyezzen meg. Kerüljön rögzítésre, hogy a hosszú vagy a rövid aláírást használják a gazdálkodási jogkör gyakorlásakor.</w:t>
                  </w:r>
                </w:p>
                <w:p w:rsidR="00732ADD" w:rsidRPr="00732ADD" w:rsidRDefault="00732ADD" w:rsidP="00732ADD">
                  <w:pPr>
                    <w:numPr>
                      <w:ilvl w:val="0"/>
                      <w:numId w:val="15"/>
                    </w:numPr>
                    <w:tabs>
                      <w:tab w:val="num" w:pos="357"/>
                    </w:tabs>
                    <w:suppressAutoHyphens/>
                    <w:jc w:val="both"/>
                    <w:outlineLvl w:val="0"/>
                    <w:rPr>
                      <w:rFonts w:eastAsia="Calibri"/>
                      <w:sz w:val="16"/>
                      <w:szCs w:val="16"/>
                      <w:lang w:eastAsia="en-US"/>
                    </w:rPr>
                  </w:pPr>
                  <w:r w:rsidRPr="00732ADD">
                    <w:rPr>
                      <w:rFonts w:eastAsia="Calibri"/>
                      <w:sz w:val="16"/>
                      <w:szCs w:val="16"/>
                      <w:lang w:eastAsia="en-US"/>
                    </w:rPr>
                    <w:t>Valamennyi pénztárbizonylat tartalmazza az utalványozó aláírását, keltezést.</w:t>
                  </w:r>
                </w:p>
                <w:p w:rsidR="000B0203" w:rsidRPr="00475BD1" w:rsidRDefault="000B0203" w:rsidP="00475BD1">
                  <w:pPr>
                    <w:suppressAutoHyphens/>
                    <w:jc w:val="both"/>
                    <w:outlineLvl w:val="0"/>
                    <w:rPr>
                      <w:rFonts w:eastAsia="Calibri"/>
                      <w:sz w:val="16"/>
                      <w:szCs w:val="16"/>
                      <w:lang w:eastAsia="en-US"/>
                    </w:rPr>
                  </w:pPr>
                </w:p>
              </w:tc>
            </w:tr>
            <w:tr w:rsidR="000B0203" w:rsidRPr="007F0BD3" w:rsidTr="000B0203">
              <w:trPr>
                <w:trHeight w:val="283"/>
              </w:trPr>
              <w:tc>
                <w:tcPr>
                  <w:tcW w:w="9368" w:type="dxa"/>
                  <w:gridSpan w:val="3"/>
                  <w:tcBorders>
                    <w:top w:val="single" w:sz="4" w:space="0" w:color="auto"/>
                    <w:left w:val="single" w:sz="4" w:space="0" w:color="000000"/>
                    <w:bottom w:val="single" w:sz="4" w:space="0" w:color="auto"/>
                    <w:right w:val="single" w:sz="4" w:space="0" w:color="auto"/>
                  </w:tcBorders>
                </w:tcPr>
                <w:p w:rsidR="000B0203" w:rsidRPr="003B3E5B" w:rsidRDefault="000B0203" w:rsidP="00BA1F11">
                  <w:pPr>
                    <w:suppressAutoHyphens/>
                    <w:jc w:val="both"/>
                    <w:outlineLvl w:val="0"/>
                    <w:rPr>
                      <w:rFonts w:eastAsia="Calibri"/>
                      <w:b/>
                      <w:i/>
                      <w:sz w:val="20"/>
                      <w:szCs w:val="20"/>
                      <w:lang w:eastAsia="en-US"/>
                    </w:rPr>
                  </w:pPr>
                  <w:r w:rsidRPr="003B3E5B">
                    <w:rPr>
                      <w:rFonts w:eastAsia="Calibri"/>
                      <w:b/>
                      <w:i/>
                      <w:sz w:val="20"/>
                      <w:szCs w:val="20"/>
                      <w:lang w:eastAsia="en-US"/>
                    </w:rPr>
                    <w:lastRenderedPageBreak/>
                    <w:t>Irányító szervként végzett ellenőrzések:</w:t>
                  </w:r>
                </w:p>
              </w:tc>
            </w:tr>
            <w:tr w:rsidR="000B0203" w:rsidRPr="0044525D" w:rsidTr="00BA1F11">
              <w:trPr>
                <w:trHeight w:val="485"/>
              </w:trPr>
              <w:tc>
                <w:tcPr>
                  <w:tcW w:w="2280" w:type="dxa"/>
                  <w:tcBorders>
                    <w:top w:val="single" w:sz="4" w:space="0" w:color="auto"/>
                    <w:left w:val="single" w:sz="4" w:space="0" w:color="000000"/>
                    <w:bottom w:val="single" w:sz="4" w:space="0" w:color="auto"/>
                    <w:right w:val="nil"/>
                  </w:tcBorders>
                </w:tcPr>
                <w:p w:rsidR="000B0203" w:rsidRPr="00273003" w:rsidRDefault="000B0203" w:rsidP="00E234D3">
                  <w:pPr>
                    <w:jc w:val="both"/>
                    <w:rPr>
                      <w:rFonts w:eastAsia="Calibri"/>
                      <w:sz w:val="20"/>
                      <w:szCs w:val="20"/>
                      <w:lang w:eastAsia="en-US"/>
                    </w:rPr>
                  </w:pPr>
                  <w:r w:rsidRPr="00273003">
                    <w:rPr>
                      <w:rFonts w:eastAsia="Calibri"/>
                      <w:sz w:val="20"/>
                      <w:szCs w:val="20"/>
                      <w:lang w:eastAsia="en-US"/>
                    </w:rPr>
                    <w:t>A 201</w:t>
                  </w:r>
                  <w:r w:rsidR="00475BD1">
                    <w:rPr>
                      <w:rFonts w:eastAsia="Calibri"/>
                      <w:sz w:val="20"/>
                      <w:szCs w:val="20"/>
                      <w:lang w:eastAsia="en-US"/>
                    </w:rPr>
                    <w:t>6</w:t>
                  </w:r>
                  <w:r w:rsidRPr="00273003">
                    <w:rPr>
                      <w:rFonts w:eastAsia="Calibri"/>
                      <w:sz w:val="20"/>
                      <w:szCs w:val="20"/>
                      <w:lang w:eastAsia="en-US"/>
                    </w:rPr>
                    <w:t>. évi pénzmaradvány vizsgálata</w:t>
                  </w:r>
                </w:p>
              </w:tc>
              <w:tc>
                <w:tcPr>
                  <w:tcW w:w="3639" w:type="dxa"/>
                  <w:tcBorders>
                    <w:top w:val="single" w:sz="4" w:space="0" w:color="auto"/>
                    <w:left w:val="single" w:sz="4" w:space="0" w:color="000000"/>
                    <w:bottom w:val="single" w:sz="4" w:space="0" w:color="auto"/>
                    <w:right w:val="single" w:sz="4" w:space="0" w:color="auto"/>
                  </w:tcBorders>
                  <w:shd w:val="clear" w:color="auto" w:fill="auto"/>
                  <w:noWrap/>
                </w:tcPr>
                <w:p w:rsidR="00766B16" w:rsidRPr="007A557E" w:rsidRDefault="00766B16" w:rsidP="00766B16">
                  <w:pPr>
                    <w:jc w:val="both"/>
                    <w:rPr>
                      <w:rFonts w:eastAsia="Calibri"/>
                      <w:sz w:val="16"/>
                      <w:szCs w:val="16"/>
                      <w:lang w:eastAsia="en-US"/>
                    </w:rPr>
                  </w:pPr>
                  <w:r w:rsidRPr="007A557E">
                    <w:rPr>
                      <w:rFonts w:eastAsia="Calibri"/>
                      <w:sz w:val="16"/>
                      <w:szCs w:val="16"/>
                      <w:lang w:eastAsia="en-US"/>
                    </w:rPr>
                    <w:t xml:space="preserve">A pénzmaradvánnyal szemben beállított kötelezettségeket alátámasztották.  </w:t>
                  </w:r>
                </w:p>
                <w:p w:rsidR="007A557E" w:rsidRDefault="00766B16" w:rsidP="00766B16">
                  <w:pPr>
                    <w:jc w:val="both"/>
                    <w:rPr>
                      <w:rFonts w:eastAsia="Calibri"/>
                      <w:sz w:val="16"/>
                      <w:szCs w:val="16"/>
                      <w:lang w:eastAsia="en-US"/>
                    </w:rPr>
                  </w:pPr>
                  <w:r w:rsidRPr="007A557E">
                    <w:rPr>
                      <w:rFonts w:eastAsia="Calibri"/>
                      <w:sz w:val="16"/>
                      <w:szCs w:val="16"/>
                      <w:lang w:eastAsia="en-US"/>
                    </w:rPr>
                    <w:t xml:space="preserve">A kötelezettségvállalás és pénzügyi ellenjegyzés során nem minden esetben tartották be az Áht. és az </w:t>
                  </w:r>
                  <w:proofErr w:type="spellStart"/>
                  <w:r w:rsidRPr="007A557E">
                    <w:rPr>
                      <w:rFonts w:eastAsia="Calibri"/>
                      <w:sz w:val="16"/>
                      <w:szCs w:val="16"/>
                      <w:lang w:eastAsia="en-US"/>
                    </w:rPr>
                    <w:t>Ávr</w:t>
                  </w:r>
                  <w:proofErr w:type="spellEnd"/>
                  <w:r w:rsidRPr="007A557E">
                    <w:rPr>
                      <w:rFonts w:eastAsia="Calibri"/>
                      <w:sz w:val="16"/>
                      <w:szCs w:val="16"/>
                      <w:lang w:eastAsia="en-US"/>
                    </w:rPr>
                    <w:t>. erre vonatkozó előírásait.</w:t>
                  </w:r>
                </w:p>
                <w:p w:rsidR="00766B16" w:rsidRPr="00766B16" w:rsidRDefault="00766B16" w:rsidP="00766B16">
                  <w:pPr>
                    <w:jc w:val="both"/>
                    <w:rPr>
                      <w:rFonts w:eastAsia="Calibri"/>
                      <w:sz w:val="16"/>
                      <w:szCs w:val="16"/>
                      <w:lang w:eastAsia="en-US"/>
                    </w:rPr>
                  </w:pPr>
                  <w:r w:rsidRPr="00766B16">
                    <w:rPr>
                      <w:rFonts w:eastAsia="Calibri"/>
                      <w:sz w:val="16"/>
                      <w:szCs w:val="16"/>
                      <w:lang w:eastAsia="en-US"/>
                    </w:rPr>
                    <w:t>A Rippl-Rónai Megyei Hatókörű Városi Múzeumnál a kiemelt rendezvényekhez kapcsolódóan vizsgált dokumentumok (számlák) nem minden esetben tartalmazták, hogy az adott kiadás melyik kiemelt feladattal kapcsolatban merült fel. Ezáltal nem zárta ki annak lehetőségét, hogy egy számla több elszámolásban is szerepeltethető. A régészeti tevékenység maradványa nem nyújtott fedezetet a december havi megbízási díjakra.</w:t>
                  </w:r>
                </w:p>
                <w:p w:rsidR="00766B16" w:rsidRPr="007A557E" w:rsidRDefault="00766B16" w:rsidP="00766B16">
                  <w:pPr>
                    <w:jc w:val="both"/>
                    <w:rPr>
                      <w:rFonts w:eastAsia="Calibri"/>
                      <w:sz w:val="16"/>
                      <w:szCs w:val="16"/>
                      <w:lang w:eastAsia="en-US"/>
                    </w:rPr>
                  </w:pPr>
                </w:p>
              </w:tc>
              <w:tc>
                <w:tcPr>
                  <w:tcW w:w="3449" w:type="dxa"/>
                  <w:tcBorders>
                    <w:top w:val="single" w:sz="4" w:space="0" w:color="auto"/>
                    <w:left w:val="single" w:sz="4" w:space="0" w:color="auto"/>
                    <w:bottom w:val="single" w:sz="4" w:space="0" w:color="auto"/>
                    <w:right w:val="single" w:sz="4" w:space="0" w:color="auto"/>
                  </w:tcBorders>
                  <w:shd w:val="clear" w:color="auto" w:fill="auto"/>
                  <w:noWrap/>
                </w:tcPr>
                <w:p w:rsidR="00766B16" w:rsidRPr="00766B16" w:rsidRDefault="00766B16" w:rsidP="00766B16">
                  <w:pPr>
                    <w:spacing w:line="276" w:lineRule="auto"/>
                    <w:outlineLvl w:val="0"/>
                    <w:rPr>
                      <w:b/>
                      <w:i/>
                      <w:sz w:val="16"/>
                      <w:szCs w:val="16"/>
                    </w:rPr>
                  </w:pPr>
                  <w:r w:rsidRPr="00766B16">
                    <w:rPr>
                      <w:b/>
                      <w:i/>
                      <w:sz w:val="16"/>
                      <w:szCs w:val="16"/>
                    </w:rPr>
                    <w:t>Kiemelt jelentőségű javaslat:</w:t>
                  </w:r>
                </w:p>
                <w:p w:rsidR="00766B16" w:rsidRPr="00766B16" w:rsidRDefault="00766B16" w:rsidP="00766B16">
                  <w:pPr>
                    <w:numPr>
                      <w:ilvl w:val="0"/>
                      <w:numId w:val="17"/>
                    </w:numPr>
                    <w:spacing w:line="276" w:lineRule="auto"/>
                    <w:ind w:left="284" w:hanging="284"/>
                    <w:jc w:val="both"/>
                    <w:outlineLvl w:val="0"/>
                    <w:rPr>
                      <w:sz w:val="16"/>
                      <w:szCs w:val="16"/>
                    </w:rPr>
                  </w:pPr>
                  <w:r w:rsidRPr="00766B16">
                    <w:rPr>
                      <w:sz w:val="16"/>
                      <w:szCs w:val="16"/>
                    </w:rPr>
                    <w:t xml:space="preserve">A gazdálkodási jogkörök gyakorlása – különösen a kötelezettségvállalás és a pénzügyi ellenjegyzés – során tartsák be az Áht. 36-38. § és az </w:t>
                  </w:r>
                  <w:proofErr w:type="spellStart"/>
                  <w:r w:rsidRPr="00766B16">
                    <w:rPr>
                      <w:sz w:val="16"/>
                      <w:szCs w:val="16"/>
                    </w:rPr>
                    <w:t>Ávr</w:t>
                  </w:r>
                  <w:proofErr w:type="spellEnd"/>
                  <w:r w:rsidRPr="00766B16">
                    <w:rPr>
                      <w:sz w:val="16"/>
                      <w:szCs w:val="16"/>
                    </w:rPr>
                    <w:t xml:space="preserve">. 45-60. § előírásait. </w:t>
                  </w:r>
                </w:p>
                <w:p w:rsidR="00766B16" w:rsidRPr="00766B16" w:rsidRDefault="00766B16" w:rsidP="00766B16">
                  <w:pPr>
                    <w:spacing w:line="276" w:lineRule="auto"/>
                    <w:outlineLvl w:val="0"/>
                    <w:rPr>
                      <w:b/>
                      <w:i/>
                      <w:sz w:val="16"/>
                      <w:szCs w:val="16"/>
                    </w:rPr>
                  </w:pPr>
                  <w:r w:rsidRPr="00766B16">
                    <w:rPr>
                      <w:b/>
                      <w:i/>
                      <w:sz w:val="16"/>
                      <w:szCs w:val="16"/>
                    </w:rPr>
                    <w:t>Átlagos jelentőségű javaslatok:</w:t>
                  </w:r>
                </w:p>
                <w:p w:rsidR="00766B16" w:rsidRPr="00766B16" w:rsidRDefault="00766B16" w:rsidP="00766B16">
                  <w:pPr>
                    <w:numPr>
                      <w:ilvl w:val="0"/>
                      <w:numId w:val="17"/>
                    </w:numPr>
                    <w:spacing w:line="276" w:lineRule="auto"/>
                    <w:ind w:left="284" w:hanging="284"/>
                    <w:jc w:val="both"/>
                    <w:outlineLvl w:val="0"/>
                    <w:rPr>
                      <w:sz w:val="16"/>
                      <w:szCs w:val="16"/>
                    </w:rPr>
                  </w:pPr>
                  <w:r w:rsidRPr="00766B16">
                    <w:rPr>
                      <w:sz w:val="16"/>
                      <w:szCs w:val="16"/>
                    </w:rPr>
                    <w:t xml:space="preserve">A szabad pénzmaradvány terhére visszapótolt előirányzatokat </w:t>
                  </w:r>
                  <w:proofErr w:type="gramStart"/>
                  <w:r w:rsidRPr="00766B16">
                    <w:rPr>
                      <w:sz w:val="16"/>
                      <w:szCs w:val="16"/>
                    </w:rPr>
                    <w:t>használják</w:t>
                  </w:r>
                  <w:proofErr w:type="gramEnd"/>
                  <w:r w:rsidRPr="00766B16">
                    <w:rPr>
                      <w:sz w:val="16"/>
                      <w:szCs w:val="16"/>
                    </w:rPr>
                    <w:t xml:space="preserve"> fel 2017. augusztus 31-ig. A felhasználást alátámasztó kimutatást juttassák el az Ellenőrzési Irodának a nyomon követés érdekében. </w:t>
                  </w:r>
                </w:p>
                <w:p w:rsidR="000B0203" w:rsidRPr="00766B16" w:rsidRDefault="00766B16" w:rsidP="00766B16">
                  <w:pPr>
                    <w:numPr>
                      <w:ilvl w:val="0"/>
                      <w:numId w:val="17"/>
                    </w:numPr>
                    <w:spacing w:line="276" w:lineRule="auto"/>
                    <w:ind w:left="284" w:hanging="284"/>
                    <w:jc w:val="both"/>
                    <w:outlineLvl w:val="0"/>
                    <w:rPr>
                      <w:rFonts w:eastAsia="Calibri"/>
                      <w:sz w:val="16"/>
                      <w:szCs w:val="16"/>
                      <w:lang w:eastAsia="en-US"/>
                    </w:rPr>
                  </w:pPr>
                  <w:r w:rsidRPr="00766B16">
                    <w:rPr>
                      <w:sz w:val="16"/>
                      <w:szCs w:val="16"/>
                    </w:rPr>
                    <w:t>A Rippl-Rónai Megyei Hatókörű Városi Múzeum minden kiemelt rendezvényhez kapcsolódó kiadás számláján tüntesse fel, hogy az adott kiadás az adott rendezvénnyel kapcsolatban merült fel.</w:t>
                  </w:r>
                </w:p>
              </w:tc>
            </w:tr>
            <w:tr w:rsidR="0008073C" w:rsidRPr="0044525D" w:rsidTr="00BA1F11">
              <w:trPr>
                <w:trHeight w:val="485"/>
              </w:trPr>
              <w:tc>
                <w:tcPr>
                  <w:tcW w:w="2280" w:type="dxa"/>
                  <w:tcBorders>
                    <w:top w:val="single" w:sz="4" w:space="0" w:color="auto"/>
                    <w:left w:val="single" w:sz="4" w:space="0" w:color="000000"/>
                    <w:bottom w:val="single" w:sz="4" w:space="0" w:color="auto"/>
                    <w:right w:val="nil"/>
                  </w:tcBorders>
                </w:tcPr>
                <w:p w:rsidR="0008073C" w:rsidRPr="00273003" w:rsidRDefault="0008073C" w:rsidP="0008073C">
                  <w:pPr>
                    <w:rPr>
                      <w:rFonts w:eastAsia="Calibri"/>
                      <w:sz w:val="20"/>
                      <w:szCs w:val="20"/>
                      <w:lang w:eastAsia="en-US"/>
                    </w:rPr>
                  </w:pPr>
                  <w:r>
                    <w:rPr>
                      <w:rFonts w:eastAsia="Calibri"/>
                      <w:sz w:val="20"/>
                      <w:szCs w:val="20"/>
                      <w:lang w:eastAsia="en-US"/>
                    </w:rPr>
                    <w:t>A régészeti tevékenység eredményességének vizsgálata</w:t>
                  </w:r>
                </w:p>
              </w:tc>
              <w:tc>
                <w:tcPr>
                  <w:tcW w:w="3639" w:type="dxa"/>
                  <w:tcBorders>
                    <w:top w:val="single" w:sz="4" w:space="0" w:color="auto"/>
                    <w:left w:val="single" w:sz="4" w:space="0" w:color="000000"/>
                    <w:bottom w:val="single" w:sz="4" w:space="0" w:color="auto"/>
                    <w:right w:val="single" w:sz="4" w:space="0" w:color="auto"/>
                  </w:tcBorders>
                  <w:shd w:val="clear" w:color="auto" w:fill="auto"/>
                  <w:noWrap/>
                </w:tcPr>
                <w:p w:rsidR="0008073C" w:rsidRPr="0008073C" w:rsidRDefault="0008073C" w:rsidP="0008073C">
                  <w:pPr>
                    <w:suppressAutoHyphens/>
                    <w:autoSpaceDE w:val="0"/>
                    <w:autoSpaceDN w:val="0"/>
                    <w:adjustRightInd w:val="0"/>
                    <w:jc w:val="both"/>
                    <w:rPr>
                      <w:sz w:val="16"/>
                      <w:szCs w:val="16"/>
                    </w:rPr>
                  </w:pPr>
                  <w:r w:rsidRPr="0008073C">
                    <w:rPr>
                      <w:sz w:val="16"/>
                      <w:szCs w:val="16"/>
                    </w:rPr>
                    <w:t>Az ellenőrzés során átnéztük 2013. évtől 2016. év végéig a Rippl-Rónai Meg</w:t>
                  </w:r>
                  <w:r w:rsidR="00F613D6">
                    <w:rPr>
                      <w:sz w:val="16"/>
                      <w:szCs w:val="16"/>
                    </w:rPr>
                    <w:t>yei Hatókörű Városi Múzeum</w:t>
                  </w:r>
                  <w:r w:rsidRPr="0008073C">
                    <w:rPr>
                      <w:sz w:val="16"/>
                      <w:szCs w:val="16"/>
                    </w:rPr>
                    <w:t xml:space="preserve"> régészeti tevékenységének elkülönített bevételeit és kiadásait, illetve ezek pénzforgalmának teljesítését és a maradvány meghatározását.</w:t>
                  </w:r>
                </w:p>
                <w:p w:rsidR="0008073C" w:rsidRPr="0008073C" w:rsidRDefault="0008073C" w:rsidP="0008073C">
                  <w:pPr>
                    <w:suppressAutoHyphens/>
                    <w:autoSpaceDE w:val="0"/>
                    <w:autoSpaceDN w:val="0"/>
                    <w:adjustRightInd w:val="0"/>
                    <w:jc w:val="both"/>
                    <w:rPr>
                      <w:sz w:val="16"/>
                      <w:szCs w:val="16"/>
                    </w:rPr>
                  </w:pPr>
                  <w:r w:rsidRPr="0008073C">
                    <w:rPr>
                      <w:sz w:val="16"/>
                      <w:szCs w:val="16"/>
                    </w:rPr>
                    <w:t>A Múzeum könyvelésében külön tervezési alapegység kódokon könyvelték a régészetet. A pénzmozgást elkülönített bankszámlán bonyolították, valamint külön házipénztárt vezettek a régészeti feladatok ellátására.</w:t>
                  </w:r>
                </w:p>
                <w:p w:rsidR="0008073C" w:rsidRPr="0008073C" w:rsidRDefault="0008073C" w:rsidP="0008073C">
                  <w:pPr>
                    <w:suppressAutoHyphens/>
                    <w:autoSpaceDE w:val="0"/>
                    <w:autoSpaceDN w:val="0"/>
                    <w:adjustRightInd w:val="0"/>
                    <w:jc w:val="both"/>
                    <w:rPr>
                      <w:sz w:val="16"/>
                      <w:szCs w:val="16"/>
                    </w:rPr>
                  </w:pPr>
                  <w:r w:rsidRPr="0008073C">
                    <w:rPr>
                      <w:sz w:val="16"/>
                      <w:szCs w:val="16"/>
                    </w:rPr>
                    <w:t>Az elkülönített bankszámla lehetővé tette, hogy a régészeti tevékenység a maradványát átvigye a következő évre. Ez a vizsgált időszakban – a bankszámla egyenlegre vonatkozóan – maradéktalanul megtörtént. A pénzmaradvány elkülönítése a 2014. évi elszámolást követően valósult meg.</w:t>
                  </w:r>
                </w:p>
                <w:p w:rsidR="0008073C" w:rsidRPr="0008073C" w:rsidRDefault="0008073C" w:rsidP="0008073C">
                  <w:pPr>
                    <w:suppressAutoHyphens/>
                    <w:autoSpaceDE w:val="0"/>
                    <w:autoSpaceDN w:val="0"/>
                    <w:adjustRightInd w:val="0"/>
                    <w:jc w:val="both"/>
                    <w:rPr>
                      <w:sz w:val="16"/>
                      <w:szCs w:val="16"/>
                    </w:rPr>
                  </w:pPr>
                  <w:r w:rsidRPr="0008073C">
                    <w:rPr>
                      <w:sz w:val="16"/>
                      <w:szCs w:val="16"/>
                    </w:rPr>
                    <w:lastRenderedPageBreak/>
                    <w:t xml:space="preserve">A régészeti feladatokhoz kapcsolódó bevételek a régészeti bankszámlára érkeztek, tervezési alapegységenként elkülönítetten könyvelték. </w:t>
                  </w:r>
                </w:p>
                <w:p w:rsidR="0008073C" w:rsidRPr="0008073C" w:rsidRDefault="0008073C" w:rsidP="0008073C">
                  <w:pPr>
                    <w:suppressAutoHyphens/>
                    <w:autoSpaceDE w:val="0"/>
                    <w:autoSpaceDN w:val="0"/>
                    <w:adjustRightInd w:val="0"/>
                    <w:jc w:val="both"/>
                    <w:rPr>
                      <w:sz w:val="16"/>
                      <w:szCs w:val="16"/>
                    </w:rPr>
                  </w:pPr>
                  <w:r w:rsidRPr="0008073C">
                    <w:rPr>
                      <w:sz w:val="16"/>
                      <w:szCs w:val="16"/>
                    </w:rPr>
                    <w:t>A kiadások többsége közvetlenül a régészeti bankszámláról történt. A kiadások 3 fő bérét, két raktár közüzemi kiadásait, a régészethez használt gépkocsik kiadásait, karbantartási, kisjavítási kiadásokat és a régészethez kapcsolódó szakmai kiadásokat tartalmazták. A régészeti feladatokat ellátók bérjellegű kifizetéseit, közterheit és a régészet által használt irodák rezsi költségét utólag, külön kimutatás alapján vezették át a régészet számlájáról a Múzeum főszámlájára. Az átvezetéseket rendszertelen időszakonként, kimutatások alapján teljesítették, több alkalommal nem igazodva a költségvetési évhez, így a maradvány megállapítása torzult.</w:t>
                  </w:r>
                </w:p>
                <w:p w:rsidR="0008073C" w:rsidRPr="0008073C" w:rsidRDefault="0008073C" w:rsidP="0008073C">
                  <w:pPr>
                    <w:suppressAutoHyphens/>
                    <w:autoSpaceDE w:val="0"/>
                    <w:autoSpaceDN w:val="0"/>
                    <w:adjustRightInd w:val="0"/>
                    <w:jc w:val="both"/>
                    <w:rPr>
                      <w:sz w:val="16"/>
                      <w:szCs w:val="16"/>
                    </w:rPr>
                  </w:pPr>
                  <w:r w:rsidRPr="0008073C">
                    <w:rPr>
                      <w:sz w:val="16"/>
                      <w:szCs w:val="16"/>
                    </w:rPr>
                    <w:t xml:space="preserve">A régészeti feladatok ellátásához 2016. évben 2 gépkocsit vásároltak. A gépkocsi beszerzéshez a bankszámlán a fedezet biztosított volt, azonban a beszerzésre vonatkozó bejelentést nem az önkormányzati rendeleteknek megfelelően teljesítették. </w:t>
                  </w:r>
                </w:p>
                <w:p w:rsidR="0008073C" w:rsidRPr="0008073C" w:rsidRDefault="0008073C" w:rsidP="0008073C">
                  <w:pPr>
                    <w:suppressAutoHyphens/>
                    <w:autoSpaceDE w:val="0"/>
                    <w:autoSpaceDN w:val="0"/>
                    <w:adjustRightInd w:val="0"/>
                    <w:jc w:val="both"/>
                    <w:rPr>
                      <w:sz w:val="16"/>
                      <w:szCs w:val="16"/>
                    </w:rPr>
                  </w:pPr>
                  <w:r w:rsidRPr="0008073C">
                    <w:rPr>
                      <w:sz w:val="16"/>
                      <w:szCs w:val="16"/>
                    </w:rPr>
                    <w:t xml:space="preserve">A régészeti szolgáltatás Áfa köteles, így a befolyt Áfa tovább utalandó. Az Áfa bevallásban azonban a teljes Múzeumi tevékenység szerepel, melytől függ a befizetési kötelezettség. Az Áfa tervezési alapegység szerinti kimutatására csak 2016. évtől került sor, addig az Áfa rendezése a bankszámlák között nem történt meg. </w:t>
                  </w:r>
                </w:p>
                <w:p w:rsidR="0008073C" w:rsidRDefault="0008073C" w:rsidP="0008073C">
                  <w:pPr>
                    <w:suppressAutoHyphens/>
                    <w:autoSpaceDE w:val="0"/>
                    <w:autoSpaceDN w:val="0"/>
                    <w:adjustRightInd w:val="0"/>
                    <w:jc w:val="both"/>
                    <w:rPr>
                      <w:sz w:val="16"/>
                      <w:szCs w:val="16"/>
                    </w:rPr>
                  </w:pPr>
                  <w:r w:rsidRPr="0008073C">
                    <w:rPr>
                      <w:sz w:val="16"/>
                      <w:szCs w:val="16"/>
                    </w:rPr>
                    <w:t xml:space="preserve">A régészetnek meghatározott maradvány eltér a könyvelésből kimutatható kiadási előirányzatok maradványától. 2014. évben a bankszámla egyenlegből került levonásra a 2014. évet érintő átvezetés összege. 2015. évben a bankszámla egyenleg mellett további egy kötelezettségvállalás is bekerült a maradvány összegébe. 2016. évben a kiadási előirányzat maradvány egyezett meg a jóváhagyott pénzmaradvánnyal. A bankszámla egyenleg azonban nem tükrözte a tényleges eredményt, mivel az átvezetések nem igazodtak a költségvetési évhez, valamint az Áfa rendezést 2016. évig csak a Múzeum egészére teljesítették, továbbá 2016. II. félévben a régészet által használt irodák rezsi költségét nem vezették át. </w:t>
                  </w:r>
                </w:p>
                <w:p w:rsidR="00106CDA" w:rsidRDefault="00106CDA" w:rsidP="0008073C">
                  <w:pPr>
                    <w:suppressAutoHyphens/>
                    <w:autoSpaceDE w:val="0"/>
                    <w:autoSpaceDN w:val="0"/>
                    <w:adjustRightInd w:val="0"/>
                    <w:jc w:val="both"/>
                    <w:rPr>
                      <w:sz w:val="16"/>
                      <w:szCs w:val="16"/>
                    </w:rPr>
                  </w:pPr>
                </w:p>
                <w:p w:rsidR="00106CDA" w:rsidRPr="0008073C" w:rsidRDefault="00106CDA" w:rsidP="0008073C">
                  <w:pPr>
                    <w:suppressAutoHyphens/>
                    <w:autoSpaceDE w:val="0"/>
                    <w:autoSpaceDN w:val="0"/>
                    <w:adjustRightInd w:val="0"/>
                    <w:jc w:val="both"/>
                    <w:rPr>
                      <w:sz w:val="16"/>
                      <w:szCs w:val="16"/>
                    </w:rPr>
                  </w:pPr>
                </w:p>
                <w:p w:rsidR="0008073C" w:rsidRPr="005A06B3" w:rsidRDefault="0008073C" w:rsidP="0008073C">
                  <w:pPr>
                    <w:suppressAutoHyphens/>
                    <w:autoSpaceDE w:val="0"/>
                    <w:autoSpaceDN w:val="0"/>
                    <w:adjustRightInd w:val="0"/>
                    <w:ind w:left="680"/>
                    <w:jc w:val="both"/>
                    <w:rPr>
                      <w:sz w:val="16"/>
                      <w:szCs w:val="16"/>
                    </w:rPr>
                  </w:pPr>
                </w:p>
              </w:tc>
              <w:tc>
                <w:tcPr>
                  <w:tcW w:w="3449" w:type="dxa"/>
                  <w:tcBorders>
                    <w:top w:val="single" w:sz="4" w:space="0" w:color="auto"/>
                    <w:left w:val="single" w:sz="4" w:space="0" w:color="auto"/>
                    <w:bottom w:val="single" w:sz="4" w:space="0" w:color="auto"/>
                    <w:right w:val="single" w:sz="4" w:space="0" w:color="auto"/>
                  </w:tcBorders>
                  <w:shd w:val="clear" w:color="auto" w:fill="auto"/>
                  <w:noWrap/>
                </w:tcPr>
                <w:p w:rsidR="0008073C" w:rsidRPr="00231CC8" w:rsidRDefault="00F613D6" w:rsidP="0008073C">
                  <w:pPr>
                    <w:suppressAutoHyphens/>
                    <w:jc w:val="both"/>
                    <w:outlineLvl w:val="0"/>
                    <w:rPr>
                      <w:rFonts w:eastAsia="Calibri"/>
                      <w:b/>
                      <w:i/>
                      <w:sz w:val="16"/>
                      <w:szCs w:val="16"/>
                      <w:lang w:eastAsia="en-US"/>
                    </w:rPr>
                  </w:pPr>
                  <w:r>
                    <w:rPr>
                      <w:rFonts w:eastAsia="Calibri"/>
                      <w:b/>
                      <w:i/>
                      <w:sz w:val="16"/>
                      <w:szCs w:val="16"/>
                      <w:lang w:eastAsia="en-US"/>
                    </w:rPr>
                    <w:lastRenderedPageBreak/>
                    <w:t>Javaslatok a Múzeum</w:t>
                  </w:r>
                  <w:r w:rsidR="0008073C" w:rsidRPr="00231CC8">
                    <w:rPr>
                      <w:rFonts w:eastAsia="Calibri"/>
                      <w:b/>
                      <w:i/>
                      <w:sz w:val="16"/>
                      <w:szCs w:val="16"/>
                      <w:lang w:eastAsia="en-US"/>
                    </w:rPr>
                    <w:t xml:space="preserve"> részére</w:t>
                  </w:r>
                </w:p>
                <w:p w:rsidR="0008073C" w:rsidRPr="0008073C" w:rsidRDefault="0008073C" w:rsidP="0008073C">
                  <w:pPr>
                    <w:suppressAutoHyphens/>
                    <w:jc w:val="both"/>
                    <w:outlineLvl w:val="0"/>
                    <w:rPr>
                      <w:rFonts w:eastAsia="Calibri"/>
                      <w:b/>
                      <w:i/>
                      <w:sz w:val="16"/>
                      <w:szCs w:val="16"/>
                      <w:lang w:eastAsia="en-US"/>
                    </w:rPr>
                  </w:pPr>
                  <w:r w:rsidRPr="0008073C">
                    <w:rPr>
                      <w:rFonts w:eastAsia="Calibri"/>
                      <w:b/>
                      <w:i/>
                      <w:sz w:val="16"/>
                      <w:szCs w:val="16"/>
                      <w:lang w:eastAsia="en-US"/>
                    </w:rPr>
                    <w:t>K</w:t>
                  </w:r>
                  <w:r w:rsidR="00F613D6">
                    <w:rPr>
                      <w:rFonts w:eastAsia="Calibri"/>
                      <w:b/>
                      <w:i/>
                      <w:sz w:val="16"/>
                      <w:szCs w:val="16"/>
                      <w:lang w:eastAsia="en-US"/>
                    </w:rPr>
                    <w:t>iemelt jelentőségű javaslatok</w:t>
                  </w:r>
                  <w:r w:rsidRPr="0008073C">
                    <w:rPr>
                      <w:rFonts w:eastAsia="Calibri"/>
                      <w:b/>
                      <w:i/>
                      <w:sz w:val="16"/>
                      <w:szCs w:val="16"/>
                      <w:lang w:eastAsia="en-US"/>
                    </w:rPr>
                    <w:t>:</w:t>
                  </w:r>
                </w:p>
                <w:p w:rsidR="0008073C" w:rsidRPr="00F613D6" w:rsidRDefault="0008073C" w:rsidP="0008073C">
                  <w:pPr>
                    <w:numPr>
                      <w:ilvl w:val="0"/>
                      <w:numId w:val="21"/>
                    </w:numPr>
                    <w:suppressAutoHyphens/>
                    <w:jc w:val="both"/>
                    <w:outlineLvl w:val="0"/>
                    <w:rPr>
                      <w:rFonts w:eastAsia="Calibri"/>
                      <w:sz w:val="16"/>
                      <w:szCs w:val="16"/>
                      <w:lang w:eastAsia="en-US"/>
                    </w:rPr>
                  </w:pPr>
                  <w:r w:rsidRPr="00F613D6">
                    <w:rPr>
                      <w:rFonts w:eastAsia="Calibri"/>
                      <w:sz w:val="16"/>
                      <w:szCs w:val="16"/>
                      <w:lang w:eastAsia="en-US"/>
                    </w:rPr>
                    <w:t>Tartsák be az Önkormányzat 2016. évi költségvetéséről szóló 2/2016. (II. 05.) önkormányzati rendelet 18. §</w:t>
                  </w:r>
                  <w:proofErr w:type="spellStart"/>
                  <w:r w:rsidRPr="00F613D6">
                    <w:rPr>
                      <w:rFonts w:eastAsia="Calibri"/>
                      <w:sz w:val="16"/>
                      <w:szCs w:val="16"/>
                      <w:lang w:eastAsia="en-US"/>
                    </w:rPr>
                    <w:t>-át</w:t>
                  </w:r>
                  <w:proofErr w:type="spellEnd"/>
                  <w:r w:rsidRPr="00F613D6">
                    <w:rPr>
                      <w:rFonts w:eastAsia="Calibri"/>
                      <w:sz w:val="16"/>
                      <w:szCs w:val="16"/>
                      <w:lang w:eastAsia="en-US"/>
                    </w:rPr>
                    <w:t>, valamint az önkormányzat intézményei közpénzek felhasználására vonatkozó jelentéstételi kötelezettségéről szóló 55/2003. (XI. 28.) önkormányzati rendeletét.</w:t>
                  </w:r>
                </w:p>
                <w:p w:rsidR="0008073C" w:rsidRPr="00F613D6" w:rsidRDefault="0008073C" w:rsidP="0008073C">
                  <w:pPr>
                    <w:numPr>
                      <w:ilvl w:val="0"/>
                      <w:numId w:val="21"/>
                    </w:numPr>
                    <w:suppressAutoHyphens/>
                    <w:jc w:val="both"/>
                    <w:outlineLvl w:val="0"/>
                    <w:rPr>
                      <w:rFonts w:eastAsia="Calibri"/>
                      <w:sz w:val="16"/>
                      <w:szCs w:val="16"/>
                      <w:lang w:eastAsia="en-US"/>
                    </w:rPr>
                  </w:pPr>
                  <w:r w:rsidRPr="00F613D6">
                    <w:rPr>
                      <w:rFonts w:eastAsia="Calibri"/>
                      <w:sz w:val="16"/>
                      <w:szCs w:val="16"/>
                      <w:lang w:eastAsia="en-US"/>
                    </w:rPr>
                    <w:t>Fordítsanak nagyobb figyelmet a közüzemi díjak elszámolására, ne csak a könyvelésben jelenjenek meg elkülönítve, hanem gondoskodjanak a bankszámlák közti átvezetésről is.</w:t>
                  </w:r>
                </w:p>
                <w:p w:rsidR="00106CDA" w:rsidRDefault="00106CDA" w:rsidP="0008073C">
                  <w:pPr>
                    <w:suppressAutoHyphens/>
                    <w:jc w:val="both"/>
                    <w:outlineLvl w:val="0"/>
                    <w:rPr>
                      <w:rFonts w:eastAsia="Calibri"/>
                      <w:b/>
                      <w:i/>
                      <w:sz w:val="16"/>
                      <w:szCs w:val="16"/>
                      <w:lang w:eastAsia="en-US"/>
                    </w:rPr>
                  </w:pPr>
                </w:p>
                <w:p w:rsidR="00106CDA" w:rsidRDefault="00106CDA" w:rsidP="0008073C">
                  <w:pPr>
                    <w:suppressAutoHyphens/>
                    <w:jc w:val="both"/>
                    <w:outlineLvl w:val="0"/>
                    <w:rPr>
                      <w:rFonts w:eastAsia="Calibri"/>
                      <w:b/>
                      <w:i/>
                      <w:sz w:val="16"/>
                      <w:szCs w:val="16"/>
                      <w:lang w:eastAsia="en-US"/>
                    </w:rPr>
                  </w:pPr>
                </w:p>
                <w:p w:rsidR="0008073C" w:rsidRPr="0008073C" w:rsidRDefault="0008073C" w:rsidP="0008073C">
                  <w:pPr>
                    <w:suppressAutoHyphens/>
                    <w:jc w:val="both"/>
                    <w:outlineLvl w:val="0"/>
                    <w:rPr>
                      <w:rFonts w:eastAsia="Calibri"/>
                      <w:b/>
                      <w:i/>
                      <w:sz w:val="16"/>
                      <w:szCs w:val="16"/>
                      <w:lang w:eastAsia="en-US"/>
                    </w:rPr>
                  </w:pPr>
                  <w:r w:rsidRPr="0008073C">
                    <w:rPr>
                      <w:rFonts w:eastAsia="Calibri"/>
                      <w:b/>
                      <w:i/>
                      <w:sz w:val="16"/>
                      <w:szCs w:val="16"/>
                      <w:lang w:eastAsia="en-US"/>
                    </w:rPr>
                    <w:lastRenderedPageBreak/>
                    <w:t>Á</w:t>
                  </w:r>
                  <w:r w:rsidR="00F613D6">
                    <w:rPr>
                      <w:rFonts w:eastAsia="Calibri"/>
                      <w:b/>
                      <w:i/>
                      <w:sz w:val="16"/>
                      <w:szCs w:val="16"/>
                      <w:lang w:eastAsia="en-US"/>
                    </w:rPr>
                    <w:t>tlagos jelentőségű javaslatok</w:t>
                  </w:r>
                  <w:r w:rsidRPr="0008073C">
                    <w:rPr>
                      <w:rFonts w:eastAsia="Calibri"/>
                      <w:b/>
                      <w:i/>
                      <w:sz w:val="16"/>
                      <w:szCs w:val="16"/>
                      <w:lang w:eastAsia="en-US"/>
                    </w:rPr>
                    <w:t>:</w:t>
                  </w:r>
                </w:p>
                <w:p w:rsidR="0008073C" w:rsidRPr="00F613D6" w:rsidRDefault="0008073C" w:rsidP="0008073C">
                  <w:pPr>
                    <w:numPr>
                      <w:ilvl w:val="0"/>
                      <w:numId w:val="21"/>
                    </w:numPr>
                    <w:suppressAutoHyphens/>
                    <w:jc w:val="both"/>
                    <w:outlineLvl w:val="0"/>
                    <w:rPr>
                      <w:rFonts w:eastAsia="Calibri"/>
                      <w:sz w:val="16"/>
                      <w:szCs w:val="16"/>
                      <w:lang w:eastAsia="en-US"/>
                    </w:rPr>
                  </w:pPr>
                  <w:r w:rsidRPr="00F613D6">
                    <w:rPr>
                      <w:rFonts w:eastAsia="Calibri"/>
                      <w:sz w:val="16"/>
                      <w:szCs w:val="16"/>
                      <w:lang w:eastAsia="en-US"/>
                    </w:rPr>
                    <w:t>Alakítsák ki annak rendszerét, hogy a régészet bevételeiből a Múzeum többi tevékenysége is részesüljön.</w:t>
                  </w:r>
                </w:p>
                <w:p w:rsidR="0008073C" w:rsidRPr="00F613D6" w:rsidRDefault="0008073C" w:rsidP="0008073C">
                  <w:pPr>
                    <w:numPr>
                      <w:ilvl w:val="0"/>
                      <w:numId w:val="21"/>
                    </w:numPr>
                    <w:suppressAutoHyphens/>
                    <w:jc w:val="both"/>
                    <w:outlineLvl w:val="0"/>
                    <w:rPr>
                      <w:rFonts w:eastAsia="Calibri"/>
                      <w:sz w:val="16"/>
                      <w:szCs w:val="16"/>
                      <w:lang w:eastAsia="en-US"/>
                    </w:rPr>
                  </w:pPr>
                  <w:r w:rsidRPr="00F613D6">
                    <w:rPr>
                      <w:rFonts w:eastAsia="Calibri"/>
                      <w:sz w:val="16"/>
                      <w:szCs w:val="16"/>
                      <w:lang w:eastAsia="en-US"/>
                    </w:rPr>
                    <w:t>Gondoskodjanak a régészeti irodák 2016. II. félévi rezsiköltségének átvezetéséről.</w:t>
                  </w:r>
                </w:p>
                <w:p w:rsidR="0008073C" w:rsidRPr="007A557E" w:rsidRDefault="0008073C" w:rsidP="0008073C">
                  <w:pPr>
                    <w:suppressAutoHyphens/>
                    <w:jc w:val="both"/>
                    <w:outlineLvl w:val="0"/>
                    <w:rPr>
                      <w:rFonts w:eastAsia="Calibri"/>
                      <w:b/>
                      <w:i/>
                      <w:sz w:val="16"/>
                      <w:szCs w:val="16"/>
                      <w:lang w:eastAsia="en-US"/>
                    </w:rPr>
                  </w:pPr>
                </w:p>
              </w:tc>
            </w:tr>
          </w:tbl>
          <w:p w:rsidR="005B0B73" w:rsidRPr="00BA1F11" w:rsidRDefault="005B0B73" w:rsidP="00300A08">
            <w:pPr>
              <w:jc w:val="both"/>
              <w:rPr>
                <w:rFonts w:eastAsia="Calibri"/>
                <w:sz w:val="8"/>
                <w:szCs w:val="8"/>
                <w:lang w:eastAsia="en-US"/>
              </w:rPr>
            </w:pPr>
          </w:p>
        </w:tc>
      </w:tr>
      <w:tr w:rsidR="007A557E" w:rsidRPr="00F67268" w:rsidTr="007A557E">
        <w:tc>
          <w:tcPr>
            <w:tcW w:w="194" w:type="pct"/>
            <w:gridSpan w:val="2"/>
          </w:tcPr>
          <w:p w:rsidR="007A557E" w:rsidRPr="00F67268" w:rsidRDefault="007A557E" w:rsidP="007A557E">
            <w:pPr>
              <w:rPr>
                <w:rFonts w:eastAsia="Calibri"/>
                <w:b/>
                <w:lang w:eastAsia="en-US"/>
              </w:rPr>
            </w:pPr>
          </w:p>
        </w:tc>
        <w:tc>
          <w:tcPr>
            <w:tcW w:w="206" w:type="pct"/>
            <w:gridSpan w:val="2"/>
          </w:tcPr>
          <w:p w:rsidR="007A557E" w:rsidRPr="00F67268" w:rsidRDefault="007A557E" w:rsidP="007A557E">
            <w:pPr>
              <w:rPr>
                <w:rFonts w:eastAsia="Calibri"/>
                <w:b/>
                <w:lang w:eastAsia="en-US"/>
              </w:rPr>
            </w:pPr>
            <w:r w:rsidRPr="00F67268">
              <w:rPr>
                <w:rFonts w:eastAsia="Calibri"/>
                <w:b/>
                <w:lang w:eastAsia="en-US"/>
              </w:rPr>
              <w:t>II/2</w:t>
            </w:r>
          </w:p>
        </w:tc>
        <w:tc>
          <w:tcPr>
            <w:tcW w:w="262" w:type="pct"/>
            <w:gridSpan w:val="3"/>
          </w:tcPr>
          <w:p w:rsidR="007A557E" w:rsidRPr="00F67268" w:rsidRDefault="007A557E" w:rsidP="007A557E">
            <w:pPr>
              <w:rPr>
                <w:rFonts w:eastAsia="Calibri"/>
                <w:b/>
                <w:color w:val="4F81BD"/>
                <w:lang w:eastAsia="en-US"/>
              </w:rPr>
            </w:pPr>
          </w:p>
        </w:tc>
        <w:tc>
          <w:tcPr>
            <w:tcW w:w="794" w:type="pct"/>
            <w:gridSpan w:val="2"/>
          </w:tcPr>
          <w:p w:rsidR="007A557E" w:rsidRPr="00F67268" w:rsidRDefault="007A557E" w:rsidP="007A557E">
            <w:pPr>
              <w:rPr>
                <w:rFonts w:eastAsia="Calibri"/>
                <w:b/>
                <w:lang w:eastAsia="en-US"/>
              </w:rPr>
            </w:pPr>
            <w:r w:rsidRPr="00F67268">
              <w:rPr>
                <w:rFonts w:eastAsia="Calibri"/>
                <w:b/>
                <w:lang w:eastAsia="en-US"/>
              </w:rPr>
              <w:t xml:space="preserve">A belső kontrollrendszer öt elemének értékelése (Bkr. 48. § </w:t>
            </w:r>
            <w:proofErr w:type="spellStart"/>
            <w:r w:rsidRPr="00F67268">
              <w:rPr>
                <w:rFonts w:eastAsia="Calibri"/>
                <w:b/>
                <w:lang w:eastAsia="en-US"/>
              </w:rPr>
              <w:t>bb</w:t>
            </w:r>
            <w:proofErr w:type="spellEnd"/>
            <w:r w:rsidRPr="00F67268">
              <w:rPr>
                <w:rFonts w:eastAsia="Calibri"/>
                <w:b/>
                <w:lang w:eastAsia="en-US"/>
              </w:rPr>
              <w:t>) pont)</w:t>
            </w:r>
          </w:p>
        </w:tc>
        <w:tc>
          <w:tcPr>
            <w:tcW w:w="3544" w:type="pct"/>
          </w:tcPr>
          <w:p w:rsidR="007A557E" w:rsidRPr="00240DF3" w:rsidRDefault="007A557E" w:rsidP="007A557E">
            <w:pPr>
              <w:jc w:val="both"/>
              <w:rPr>
                <w:rFonts w:eastAsia="Calibri"/>
                <w:lang w:eastAsia="en-US"/>
              </w:rPr>
            </w:pPr>
            <w:r w:rsidRPr="00240DF3">
              <w:rPr>
                <w:rFonts w:eastAsia="Calibri"/>
                <w:lang w:eastAsia="en-US"/>
              </w:rPr>
              <w:t>A belső kontroll nem egyetlen esemény, hanem intézkedések és tevékenységek sorozata.</w:t>
            </w:r>
          </w:p>
          <w:p w:rsidR="007A557E" w:rsidRPr="00240DF3" w:rsidRDefault="007A557E" w:rsidP="007A557E">
            <w:pPr>
              <w:numPr>
                <w:ilvl w:val="0"/>
                <w:numId w:val="4"/>
              </w:numPr>
              <w:jc w:val="both"/>
              <w:rPr>
                <w:rFonts w:eastAsia="Calibri"/>
                <w:lang w:eastAsia="en-US"/>
              </w:rPr>
            </w:pPr>
            <w:r w:rsidRPr="00240DF3">
              <w:rPr>
                <w:rFonts w:eastAsia="Calibri"/>
                <w:lang w:eastAsia="en-US"/>
              </w:rPr>
              <w:t xml:space="preserve">Kontrollkörnyezet </w:t>
            </w:r>
          </w:p>
          <w:p w:rsidR="007A557E" w:rsidRDefault="007A557E" w:rsidP="007A557E">
            <w:pPr>
              <w:jc w:val="both"/>
              <w:rPr>
                <w:rFonts w:eastAsia="Calibri"/>
                <w:lang w:eastAsia="en-US"/>
              </w:rPr>
            </w:pPr>
            <w:r w:rsidRPr="00240DF3">
              <w:rPr>
                <w:rFonts w:eastAsia="Calibri"/>
                <w:lang w:eastAsia="en-US"/>
              </w:rPr>
              <w:t>A kontrollkörnyezet részben biztosította a költségvetési szerv felső szintű, az egész szervezetre kiható elkötelezettségét. A kontrollkörnyezet magában foglalta az etikai értékeket, az érintettek szakmai kompetenciáját, a szervezet vezetésének filozófiáját és stílusát, a felelősségi körök kijelölésének, a beszámoltatásnak, valamint teljesítményértékelésnek a módszereit, továbbá a vezetés irányítási tevékenységének minőségét. A kontrollkörnyezet részben alapja volt a belső kontrollok összes többi elemének, amely biztosítja a fegyelmet és a rendet a szervezetben.</w:t>
            </w:r>
          </w:p>
          <w:p w:rsidR="007A557E" w:rsidRPr="00240DF3" w:rsidRDefault="007A557E" w:rsidP="007A557E">
            <w:pPr>
              <w:numPr>
                <w:ilvl w:val="0"/>
                <w:numId w:val="4"/>
              </w:numPr>
              <w:jc w:val="both"/>
              <w:rPr>
                <w:rFonts w:eastAsia="Calibri"/>
                <w:lang w:eastAsia="en-US"/>
              </w:rPr>
            </w:pPr>
            <w:r>
              <w:rPr>
                <w:rFonts w:eastAsia="Calibri"/>
                <w:lang w:eastAsia="en-US"/>
              </w:rPr>
              <w:t>Integrált k</w:t>
            </w:r>
            <w:r w:rsidRPr="00240DF3">
              <w:rPr>
                <w:rFonts w:eastAsia="Calibri"/>
                <w:lang w:eastAsia="en-US"/>
              </w:rPr>
              <w:t>ockázatkezelési rendszer</w:t>
            </w:r>
          </w:p>
          <w:p w:rsidR="007A557E" w:rsidRPr="00240DF3" w:rsidRDefault="007A557E" w:rsidP="007A557E">
            <w:pPr>
              <w:jc w:val="both"/>
              <w:rPr>
                <w:rFonts w:eastAsia="Calibri"/>
                <w:lang w:eastAsia="en-US"/>
              </w:rPr>
            </w:pPr>
            <w:r w:rsidRPr="00240DF3">
              <w:rPr>
                <w:rFonts w:eastAsia="Calibri"/>
                <w:lang w:eastAsia="en-US"/>
              </w:rPr>
              <w:t>A kockázatkezelési rendszer</w:t>
            </w:r>
            <w:r>
              <w:rPr>
                <w:rFonts w:eastAsia="Calibri"/>
                <w:lang w:eastAsia="en-US"/>
              </w:rPr>
              <w:t>nek</w:t>
            </w:r>
            <w:r w:rsidRPr="00240DF3">
              <w:rPr>
                <w:rFonts w:eastAsia="Calibri"/>
                <w:lang w:eastAsia="en-US"/>
              </w:rPr>
              <w:t xml:space="preserve"> olyan mechanizmusokra </w:t>
            </w:r>
            <w:r>
              <w:rPr>
                <w:rFonts w:eastAsia="Calibri"/>
                <w:lang w:eastAsia="en-US"/>
              </w:rPr>
              <w:t xml:space="preserve">kell épülni, amelyek lehetővé teszik az intézmény </w:t>
            </w:r>
            <w:r w:rsidRPr="00240DF3">
              <w:rPr>
                <w:rFonts w:eastAsia="Calibri"/>
                <w:lang w:eastAsia="en-US"/>
              </w:rPr>
              <w:t xml:space="preserve">tevékenysége alapján kialakított célokra ható negatív hatások, vagy elszalasztott lehetőségek felismerését, elemzését és kezelését. A kockázatok forrását tekintve a szervezet külső és belső kockázatokkal egyaránt szembesült. </w:t>
            </w:r>
          </w:p>
          <w:p w:rsidR="007A557E" w:rsidRPr="00240DF3" w:rsidRDefault="007A557E" w:rsidP="007A557E">
            <w:pPr>
              <w:numPr>
                <w:ilvl w:val="0"/>
                <w:numId w:val="4"/>
              </w:numPr>
              <w:jc w:val="both"/>
              <w:rPr>
                <w:rFonts w:eastAsia="Calibri"/>
                <w:lang w:eastAsia="en-US"/>
              </w:rPr>
            </w:pPr>
            <w:r w:rsidRPr="00240DF3">
              <w:rPr>
                <w:rFonts w:eastAsia="Calibri"/>
                <w:lang w:eastAsia="en-US"/>
              </w:rPr>
              <w:t>Kontrolltevékenység</w:t>
            </w:r>
          </w:p>
          <w:p w:rsidR="007A557E" w:rsidRPr="00240DF3" w:rsidRDefault="007A557E" w:rsidP="007A557E">
            <w:pPr>
              <w:jc w:val="both"/>
              <w:rPr>
                <w:rFonts w:eastAsia="Calibri"/>
                <w:lang w:eastAsia="en-US"/>
              </w:rPr>
            </w:pPr>
            <w:r w:rsidRPr="00240DF3">
              <w:rPr>
                <w:rFonts w:eastAsia="Calibri"/>
                <w:lang w:eastAsia="en-US"/>
              </w:rPr>
              <w:t xml:space="preserve">A kontrolltevékenységek részben felölelték azokat az eljárásokat, amelyek </w:t>
            </w:r>
            <w:r>
              <w:rPr>
                <w:rFonts w:eastAsia="Calibri"/>
                <w:lang w:eastAsia="en-US"/>
              </w:rPr>
              <w:t>biztosítj</w:t>
            </w:r>
            <w:r w:rsidRPr="00240DF3">
              <w:rPr>
                <w:rFonts w:eastAsia="Calibri"/>
                <w:lang w:eastAsia="en-US"/>
              </w:rPr>
              <w:t xml:space="preserve">ák, hogy a vezetés által megfogalmazott célok és elvárások végrehajtásra kerüljenek, és az azokat veszélyeztető kockázatokat a tevékenysége során a szervezet kezelje. A kontrolltevékenységek a szervezeti hierarchia szintjein és működési területein </w:t>
            </w:r>
            <w:r>
              <w:rPr>
                <w:rFonts w:eastAsia="Calibri"/>
                <w:lang w:eastAsia="en-US"/>
              </w:rPr>
              <w:t xml:space="preserve">részben </w:t>
            </w:r>
            <w:r w:rsidRPr="00240DF3">
              <w:rPr>
                <w:rFonts w:eastAsia="Calibri"/>
                <w:lang w:eastAsia="en-US"/>
              </w:rPr>
              <w:t xml:space="preserve">megjelentek. </w:t>
            </w:r>
          </w:p>
          <w:p w:rsidR="007A557E" w:rsidRDefault="007A557E" w:rsidP="007A557E">
            <w:pPr>
              <w:numPr>
                <w:ilvl w:val="0"/>
                <w:numId w:val="4"/>
              </w:numPr>
              <w:jc w:val="both"/>
              <w:rPr>
                <w:rFonts w:eastAsia="Calibri"/>
                <w:lang w:eastAsia="en-US"/>
              </w:rPr>
            </w:pPr>
            <w:r>
              <w:rPr>
                <w:rFonts w:eastAsia="Calibri"/>
                <w:lang w:eastAsia="en-US"/>
              </w:rPr>
              <w:t>Információs és kommunikációs rendszer</w:t>
            </w:r>
          </w:p>
          <w:p w:rsidR="007A557E" w:rsidRDefault="007A557E" w:rsidP="007A557E">
            <w:pPr>
              <w:jc w:val="both"/>
              <w:rPr>
                <w:rFonts w:eastAsia="Calibri"/>
                <w:lang w:eastAsia="en-US"/>
              </w:rPr>
            </w:pPr>
            <w:r>
              <w:rPr>
                <w:rFonts w:eastAsia="Calibri"/>
                <w:lang w:eastAsia="en-US"/>
              </w:rPr>
              <w:t xml:space="preserve">Az információnak és kommunikációnak a teljes kontrollrendszert át kell szőnie. Ez az elem biztosítja mind a fentről lefelé történő kommunikációt, mind az alulról felfelé történő információáramlást. A kommunikációs rendszertől részben elvárás volt, hogy minden olyan adat és információ megjelenjen, és feldolgozásra kerüljön benne, amely alapvetően szükséges az irányítás és ellenőrizhetőség szempontjából. </w:t>
            </w:r>
          </w:p>
          <w:p w:rsidR="007A557E" w:rsidRDefault="007A557E" w:rsidP="007A557E">
            <w:pPr>
              <w:numPr>
                <w:ilvl w:val="0"/>
                <w:numId w:val="4"/>
              </w:numPr>
              <w:jc w:val="both"/>
              <w:rPr>
                <w:rFonts w:eastAsia="Calibri"/>
                <w:lang w:eastAsia="en-US"/>
              </w:rPr>
            </w:pPr>
            <w:r>
              <w:rPr>
                <w:rFonts w:eastAsia="Calibri"/>
                <w:lang w:eastAsia="en-US"/>
              </w:rPr>
              <w:t>Monitoringrendszer</w:t>
            </w:r>
          </w:p>
          <w:p w:rsidR="007A557E" w:rsidRPr="00240DF3" w:rsidRDefault="007A557E" w:rsidP="007A557E">
            <w:pPr>
              <w:jc w:val="both"/>
              <w:rPr>
                <w:rFonts w:eastAsia="Calibri"/>
                <w:lang w:eastAsia="en-US"/>
              </w:rPr>
            </w:pPr>
            <w:r>
              <w:rPr>
                <w:rFonts w:eastAsia="Calibri"/>
                <w:lang w:eastAsia="en-US"/>
              </w:rPr>
              <w:t xml:space="preserve">A monitoring mechanizmusok részben lehetővé tették, hogy a belső kontrollrendszer folyamatos </w:t>
            </w:r>
            <w:proofErr w:type="spellStart"/>
            <w:r>
              <w:rPr>
                <w:rFonts w:eastAsia="Calibri"/>
                <w:lang w:eastAsia="en-US"/>
              </w:rPr>
              <w:t>nyomonkövetés</w:t>
            </w:r>
            <w:proofErr w:type="spellEnd"/>
            <w:r>
              <w:rPr>
                <w:rFonts w:eastAsia="Calibri"/>
                <w:lang w:eastAsia="en-US"/>
              </w:rPr>
              <w:t xml:space="preserve"> és értékelés alatt álljon, így a kontrollrendszer részben rugalmasan tudott reagálni a változó külső és belső körülményekhez. A monitoring biztosítása és napi működtetése az operatív vezetés feladata.</w:t>
            </w:r>
          </w:p>
        </w:tc>
      </w:tr>
      <w:tr w:rsidR="005B0B73" w:rsidRPr="00F67268" w:rsidTr="00BA1F11">
        <w:trPr>
          <w:trHeight w:val="370"/>
        </w:trPr>
        <w:tc>
          <w:tcPr>
            <w:tcW w:w="5000" w:type="pct"/>
            <w:gridSpan w:val="10"/>
            <w:shd w:val="clear" w:color="auto" w:fill="D9D9D9"/>
          </w:tcPr>
          <w:p w:rsidR="005B0B73" w:rsidRDefault="005B0B73" w:rsidP="00300A08">
            <w:pPr>
              <w:rPr>
                <w:rFonts w:eastAsia="Calibri"/>
                <w:lang w:eastAsia="en-US"/>
              </w:rPr>
            </w:pPr>
          </w:p>
          <w:p w:rsidR="006D3051" w:rsidRPr="00F67268" w:rsidRDefault="006D3051" w:rsidP="00300A08">
            <w:pPr>
              <w:rPr>
                <w:rFonts w:eastAsia="Calibri"/>
                <w:lang w:eastAsia="en-US"/>
              </w:rPr>
            </w:pPr>
          </w:p>
        </w:tc>
      </w:tr>
      <w:tr w:rsidR="005B0B73" w:rsidRPr="00F67268" w:rsidTr="007A557E">
        <w:tc>
          <w:tcPr>
            <w:tcW w:w="194" w:type="pct"/>
            <w:gridSpan w:val="2"/>
          </w:tcPr>
          <w:p w:rsidR="005B0B73" w:rsidRPr="00F67268" w:rsidRDefault="005B0B73" w:rsidP="00300A08">
            <w:pPr>
              <w:rPr>
                <w:rFonts w:eastAsia="Calibri"/>
                <w:b/>
                <w:lang w:eastAsia="en-US"/>
              </w:rPr>
            </w:pPr>
            <w:r w:rsidRPr="00F67268">
              <w:rPr>
                <w:rFonts w:eastAsia="Calibri"/>
                <w:b/>
                <w:lang w:eastAsia="en-US"/>
              </w:rPr>
              <w:lastRenderedPageBreak/>
              <w:t>III.</w:t>
            </w:r>
          </w:p>
        </w:tc>
        <w:tc>
          <w:tcPr>
            <w:tcW w:w="206" w:type="pct"/>
            <w:gridSpan w:val="2"/>
          </w:tcPr>
          <w:p w:rsidR="005B0B73" w:rsidRPr="00F67268" w:rsidRDefault="005B0B73" w:rsidP="00300A08">
            <w:pPr>
              <w:rPr>
                <w:rFonts w:eastAsia="Calibri"/>
                <w:b/>
                <w:lang w:eastAsia="en-US"/>
              </w:rPr>
            </w:pPr>
          </w:p>
        </w:tc>
        <w:tc>
          <w:tcPr>
            <w:tcW w:w="262" w:type="pct"/>
            <w:gridSpan w:val="3"/>
          </w:tcPr>
          <w:p w:rsidR="005B0B73" w:rsidRPr="00F67268" w:rsidRDefault="005B0B73" w:rsidP="00300A08">
            <w:pPr>
              <w:rPr>
                <w:rFonts w:eastAsia="Calibri"/>
                <w:b/>
                <w:bCs/>
                <w:color w:val="4F81BD"/>
                <w:lang w:eastAsia="en-US"/>
              </w:rPr>
            </w:pPr>
          </w:p>
        </w:tc>
        <w:tc>
          <w:tcPr>
            <w:tcW w:w="794" w:type="pct"/>
            <w:gridSpan w:val="2"/>
          </w:tcPr>
          <w:p w:rsidR="005B0B73" w:rsidRPr="00F67268" w:rsidRDefault="005B0B73" w:rsidP="00300A08">
            <w:pPr>
              <w:rPr>
                <w:rFonts w:eastAsia="Calibri"/>
                <w:b/>
                <w:bCs/>
                <w:color w:val="4F81BD"/>
                <w:lang w:eastAsia="en-US"/>
              </w:rPr>
            </w:pPr>
            <w:r w:rsidRPr="00F67268">
              <w:rPr>
                <w:rFonts w:eastAsia="Calibri"/>
                <w:b/>
                <w:bCs/>
                <w:color w:val="4F81BD"/>
                <w:lang w:eastAsia="en-US"/>
              </w:rPr>
              <w:t>Az intézkedési tervek megvalósítása (Bkr. 48. § c) pont)</w:t>
            </w:r>
          </w:p>
          <w:p w:rsidR="005B0B73" w:rsidRPr="00F67268" w:rsidRDefault="005B0B73" w:rsidP="00300A08">
            <w:pPr>
              <w:rPr>
                <w:rFonts w:eastAsia="Calibri"/>
                <w:color w:val="4F81BD"/>
                <w:lang w:eastAsia="en-US"/>
              </w:rPr>
            </w:pPr>
          </w:p>
        </w:tc>
        <w:tc>
          <w:tcPr>
            <w:tcW w:w="3544" w:type="pct"/>
          </w:tcPr>
          <w:p w:rsidR="00961E6C" w:rsidRPr="00956648" w:rsidRDefault="00961E6C" w:rsidP="00961E6C">
            <w:pPr>
              <w:contextualSpacing/>
              <w:jc w:val="both"/>
              <w:rPr>
                <w:rFonts w:eastAsia="Calibri"/>
                <w:lang w:eastAsia="en-US"/>
              </w:rPr>
            </w:pPr>
            <w:r w:rsidRPr="00956648">
              <w:rPr>
                <w:rFonts w:eastAsia="Calibri"/>
                <w:lang w:eastAsia="en-US"/>
              </w:rPr>
              <w:t xml:space="preserve">Az intézkedési terv elkészítéséért, végrehajtásáért és a megtett intézkedésekről történő beszámolásért az ellenőrzött, valamint a javaslattal érintett szerv, illetve szervezeti egység vezetője felelős. Az intézkedési tervet a szükséges intézkedések végrehajtásáért felelős személyek és a vonatkozó határidők megjelölésével kell elkészíteni. </w:t>
            </w:r>
          </w:p>
          <w:p w:rsidR="00961E6C" w:rsidRPr="00956648" w:rsidRDefault="00961E6C" w:rsidP="00961E6C">
            <w:pPr>
              <w:contextualSpacing/>
              <w:jc w:val="both"/>
              <w:rPr>
                <w:rFonts w:eastAsia="Calibri"/>
                <w:lang w:eastAsia="en-US"/>
              </w:rPr>
            </w:pPr>
            <w:r w:rsidRPr="00956648">
              <w:rPr>
                <w:rFonts w:eastAsia="Calibri"/>
                <w:lang w:eastAsia="en-US"/>
              </w:rPr>
              <w:t xml:space="preserve">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 és a beszámolót meg kell küldeniük a belső ellenőrzési vezető részére is. </w:t>
            </w:r>
          </w:p>
          <w:p w:rsidR="00173398" w:rsidRPr="00B1609C" w:rsidRDefault="00173398" w:rsidP="00173398">
            <w:pPr>
              <w:contextualSpacing/>
              <w:jc w:val="both"/>
              <w:rPr>
                <w:rFonts w:eastAsia="Calibri"/>
                <w:sz w:val="16"/>
                <w:szCs w:val="16"/>
                <w:lang w:eastAsia="en-US"/>
              </w:rPr>
            </w:pPr>
          </w:p>
          <w:p w:rsidR="00173398" w:rsidRPr="00106CDA" w:rsidRDefault="008526C8" w:rsidP="00173398">
            <w:pPr>
              <w:contextualSpacing/>
              <w:jc w:val="both"/>
              <w:rPr>
                <w:rFonts w:eastAsia="Calibri"/>
                <w:lang w:eastAsia="en-US"/>
              </w:rPr>
            </w:pPr>
            <w:r w:rsidRPr="00106CDA">
              <w:rPr>
                <w:rFonts w:eastAsia="Calibri"/>
                <w:lang w:eastAsia="en-US"/>
              </w:rPr>
              <w:t xml:space="preserve">A </w:t>
            </w:r>
            <w:r w:rsidR="00173398" w:rsidRPr="00106CDA">
              <w:rPr>
                <w:rFonts w:eastAsia="Calibri"/>
                <w:lang w:eastAsia="en-US"/>
              </w:rPr>
              <w:t>„</w:t>
            </w:r>
            <w:r w:rsidR="003C0EB4" w:rsidRPr="00106CDA">
              <w:rPr>
                <w:rFonts w:eastAsia="Calibri"/>
                <w:b/>
                <w:lang w:eastAsia="en-US"/>
              </w:rPr>
              <w:t>gazdálkodási jogkörök gyakorlásának vizsgálata</w:t>
            </w:r>
            <w:r w:rsidR="007A557E" w:rsidRPr="00106CDA">
              <w:rPr>
                <w:rFonts w:eastAsia="Calibri"/>
                <w:lang w:eastAsia="en-US"/>
              </w:rPr>
              <w:t>” tárgyú 2017</w:t>
            </w:r>
            <w:r w:rsidR="00173398" w:rsidRPr="00106CDA">
              <w:rPr>
                <w:rFonts w:eastAsia="Calibri"/>
                <w:lang w:eastAsia="en-US"/>
              </w:rPr>
              <w:t>. évi ellenőrzési jelentésre készített intézkedé</w:t>
            </w:r>
            <w:r w:rsidR="00231CC8" w:rsidRPr="00106CDA">
              <w:rPr>
                <w:rFonts w:eastAsia="Calibri"/>
                <w:lang w:eastAsia="en-US"/>
              </w:rPr>
              <w:t>si terv az intézményre</w:t>
            </w:r>
            <w:r w:rsidR="007A557E" w:rsidRPr="00106CDA">
              <w:rPr>
                <w:rFonts w:eastAsia="Calibri"/>
                <w:lang w:eastAsia="en-US"/>
              </w:rPr>
              <w:t xml:space="preserve"> vonatkozóan </w:t>
            </w:r>
            <w:r w:rsidR="00106CDA" w:rsidRPr="00106CDA">
              <w:rPr>
                <w:rFonts w:eastAsia="Calibri"/>
                <w:lang w:eastAsia="en-US"/>
              </w:rPr>
              <w:t>5</w:t>
            </w:r>
            <w:r w:rsidR="00173398" w:rsidRPr="00106CDA">
              <w:rPr>
                <w:rFonts w:eastAsia="Calibri"/>
                <w:lang w:eastAsia="en-US"/>
              </w:rPr>
              <w:t xml:space="preserve"> db intézkedést tartalmazott, mel</w:t>
            </w:r>
            <w:r w:rsidR="00106CDA" w:rsidRPr="00106CDA">
              <w:rPr>
                <w:rFonts w:eastAsia="Calibri"/>
                <w:lang w:eastAsia="en-US"/>
              </w:rPr>
              <w:t>yek végrehajtásáról 2018-ban kellett beszámolót készíteni. Az intézkedési terv 1 db javaslatra nem terjedt ki.</w:t>
            </w:r>
          </w:p>
          <w:p w:rsidR="00173398" w:rsidRPr="00F613D6" w:rsidRDefault="00173398" w:rsidP="00173398">
            <w:pPr>
              <w:contextualSpacing/>
              <w:jc w:val="both"/>
              <w:rPr>
                <w:rFonts w:eastAsia="Calibri"/>
                <w:color w:val="FF0000"/>
                <w:sz w:val="16"/>
                <w:szCs w:val="16"/>
                <w:lang w:eastAsia="en-US"/>
              </w:rPr>
            </w:pPr>
          </w:p>
          <w:p w:rsidR="00A6583E" w:rsidRPr="00106CDA" w:rsidRDefault="00173398" w:rsidP="00A6583E">
            <w:pPr>
              <w:contextualSpacing/>
              <w:jc w:val="both"/>
              <w:rPr>
                <w:rFonts w:eastAsia="Calibri"/>
                <w:lang w:eastAsia="en-US"/>
              </w:rPr>
            </w:pPr>
            <w:r w:rsidRPr="00106CDA">
              <w:rPr>
                <w:rFonts w:eastAsia="Calibri"/>
                <w:lang w:eastAsia="en-US"/>
              </w:rPr>
              <w:t>„</w:t>
            </w:r>
            <w:r w:rsidR="007A557E" w:rsidRPr="00106CDA">
              <w:rPr>
                <w:rFonts w:eastAsia="Calibri"/>
                <w:b/>
                <w:lang w:eastAsia="en-US"/>
              </w:rPr>
              <w:t>A 2016</w:t>
            </w:r>
            <w:r w:rsidRPr="00106CDA">
              <w:rPr>
                <w:rFonts w:eastAsia="Calibri"/>
                <w:b/>
                <w:lang w:eastAsia="en-US"/>
              </w:rPr>
              <w:t>. évi pénzmaradvány vizsgálata</w:t>
            </w:r>
            <w:r w:rsidRPr="00106CDA">
              <w:rPr>
                <w:rFonts w:eastAsia="Calibri"/>
                <w:lang w:eastAsia="en-US"/>
              </w:rPr>
              <w:t xml:space="preserve">” tárgyú </w:t>
            </w:r>
            <w:r w:rsidR="00A6583E" w:rsidRPr="00106CDA">
              <w:rPr>
                <w:rFonts w:eastAsia="Calibri"/>
                <w:lang w:eastAsia="en-US"/>
              </w:rPr>
              <w:t>2017. évi ellenőrzési jelentésre készített intézkedé</w:t>
            </w:r>
            <w:r w:rsidR="00106CDA">
              <w:rPr>
                <w:rFonts w:eastAsia="Calibri"/>
                <w:lang w:eastAsia="en-US"/>
              </w:rPr>
              <w:t>si terv a Múzeumra</w:t>
            </w:r>
            <w:r w:rsidR="00A6583E" w:rsidRPr="00106CDA">
              <w:rPr>
                <w:rFonts w:eastAsia="Calibri"/>
                <w:lang w:eastAsia="en-US"/>
              </w:rPr>
              <w:t xml:space="preserve"> vonat</w:t>
            </w:r>
            <w:r w:rsidR="00106CDA">
              <w:rPr>
                <w:rFonts w:eastAsia="Calibri"/>
                <w:lang w:eastAsia="en-US"/>
              </w:rPr>
              <w:t>kozóan 3</w:t>
            </w:r>
            <w:r w:rsidR="00A7217A" w:rsidRPr="00106CDA">
              <w:rPr>
                <w:rFonts w:eastAsia="Calibri"/>
                <w:lang w:eastAsia="en-US"/>
              </w:rPr>
              <w:t xml:space="preserve"> db intézkedést tartalmazott.</w:t>
            </w:r>
            <w:r w:rsidR="00A6583E" w:rsidRPr="00106CDA">
              <w:rPr>
                <w:rFonts w:eastAsia="Calibri"/>
                <w:lang w:eastAsia="en-US"/>
              </w:rPr>
              <w:t xml:space="preserve"> Az intézkedési tervben foglaltak végrehajtásáról szóló beszámoló szerint az intézkedéseket </w:t>
            </w:r>
            <w:r w:rsidR="00C70737" w:rsidRPr="00106CDA">
              <w:rPr>
                <w:rFonts w:eastAsia="Calibri"/>
                <w:lang w:eastAsia="en-US"/>
              </w:rPr>
              <w:t xml:space="preserve">2017-ben </w:t>
            </w:r>
            <w:r w:rsidR="00A6583E" w:rsidRPr="00106CDA">
              <w:rPr>
                <w:rFonts w:eastAsia="Calibri"/>
                <w:lang w:eastAsia="en-US"/>
              </w:rPr>
              <w:t>végre is hajtották.</w:t>
            </w:r>
          </w:p>
          <w:p w:rsidR="00623497" w:rsidRPr="00F613D6" w:rsidRDefault="00623497" w:rsidP="00A6583E">
            <w:pPr>
              <w:contextualSpacing/>
              <w:jc w:val="both"/>
              <w:rPr>
                <w:rFonts w:eastAsia="Calibri"/>
                <w:color w:val="FF0000"/>
                <w:sz w:val="16"/>
                <w:szCs w:val="16"/>
                <w:lang w:eastAsia="en-US"/>
              </w:rPr>
            </w:pPr>
          </w:p>
          <w:p w:rsidR="00F613D6" w:rsidRPr="00F613D6" w:rsidRDefault="00DE2615" w:rsidP="00A6583E">
            <w:pPr>
              <w:contextualSpacing/>
              <w:jc w:val="both"/>
              <w:rPr>
                <w:rFonts w:eastAsia="Calibri"/>
                <w:lang w:eastAsia="en-US"/>
              </w:rPr>
            </w:pPr>
            <w:r w:rsidRPr="00F613D6">
              <w:rPr>
                <w:rFonts w:eastAsia="Calibri"/>
                <w:lang w:eastAsia="en-US"/>
              </w:rPr>
              <w:t>„</w:t>
            </w:r>
            <w:r w:rsidRPr="00F613D6">
              <w:rPr>
                <w:rFonts w:eastAsia="Calibri"/>
                <w:b/>
                <w:lang w:eastAsia="en-US"/>
              </w:rPr>
              <w:t xml:space="preserve">A </w:t>
            </w:r>
            <w:r w:rsidR="00F613D6" w:rsidRPr="00F613D6">
              <w:rPr>
                <w:rFonts w:eastAsia="Calibri"/>
                <w:b/>
                <w:lang w:eastAsia="en-US"/>
              </w:rPr>
              <w:t>régészeti tevékenység eredményességének vizsgálata</w:t>
            </w:r>
            <w:r w:rsidRPr="00F613D6">
              <w:rPr>
                <w:rFonts w:eastAsia="Calibri"/>
                <w:lang w:eastAsia="en-US"/>
              </w:rPr>
              <w:t>” tárgyú 2017. évi ellenőrzési jelentésre készített intézkedé</w:t>
            </w:r>
            <w:r w:rsidR="00F613D6" w:rsidRPr="00F613D6">
              <w:rPr>
                <w:rFonts w:eastAsia="Calibri"/>
                <w:lang w:eastAsia="en-US"/>
              </w:rPr>
              <w:t xml:space="preserve">si terv a Múzeumra </w:t>
            </w:r>
            <w:r w:rsidRPr="00F613D6">
              <w:rPr>
                <w:rFonts w:eastAsia="Calibri"/>
                <w:lang w:eastAsia="en-US"/>
              </w:rPr>
              <w:t xml:space="preserve">vonatkozóan </w:t>
            </w:r>
            <w:r w:rsidR="00F613D6" w:rsidRPr="00F613D6">
              <w:rPr>
                <w:rFonts w:eastAsia="Calibri"/>
                <w:lang w:eastAsia="en-US"/>
              </w:rPr>
              <w:t>2</w:t>
            </w:r>
            <w:r w:rsidRPr="00F613D6">
              <w:rPr>
                <w:rFonts w:eastAsia="Calibri"/>
                <w:lang w:eastAsia="en-US"/>
              </w:rPr>
              <w:t xml:space="preserve"> db intézkedést tartalmazott. Az intézkedési tervben foglaltak végrehajtásáról </w:t>
            </w:r>
            <w:r w:rsidR="00F613D6" w:rsidRPr="00F613D6">
              <w:rPr>
                <w:rFonts w:eastAsia="Calibri"/>
                <w:lang w:eastAsia="en-US"/>
              </w:rPr>
              <w:t xml:space="preserve">2018-ban kell </w:t>
            </w:r>
            <w:r w:rsidRPr="00F613D6">
              <w:rPr>
                <w:rFonts w:eastAsia="Calibri"/>
                <w:lang w:eastAsia="en-US"/>
              </w:rPr>
              <w:t>beszámoló</w:t>
            </w:r>
            <w:r w:rsidR="00F613D6" w:rsidRPr="00F613D6">
              <w:rPr>
                <w:rFonts w:eastAsia="Calibri"/>
                <w:lang w:eastAsia="en-US"/>
              </w:rPr>
              <w:t>t készíteni.</w:t>
            </w:r>
          </w:p>
          <w:p w:rsidR="00DE2615" w:rsidRPr="00F613D6" w:rsidRDefault="00DE2615" w:rsidP="00A6583E">
            <w:pPr>
              <w:contextualSpacing/>
              <w:jc w:val="both"/>
              <w:rPr>
                <w:rFonts w:eastAsia="Calibri"/>
                <w:color w:val="FF0000"/>
                <w:sz w:val="16"/>
                <w:szCs w:val="16"/>
                <w:lang w:eastAsia="en-US"/>
              </w:rPr>
            </w:pPr>
            <w:r w:rsidRPr="00F613D6">
              <w:rPr>
                <w:rFonts w:eastAsia="Calibri"/>
                <w:color w:val="FF0000"/>
                <w:lang w:eastAsia="en-US"/>
              </w:rPr>
              <w:t xml:space="preserve"> </w:t>
            </w:r>
          </w:p>
          <w:p w:rsidR="00751A50" w:rsidRPr="00956648" w:rsidRDefault="00623497" w:rsidP="00E449BD">
            <w:pPr>
              <w:contextualSpacing/>
              <w:jc w:val="both"/>
              <w:rPr>
                <w:rFonts w:eastAsia="Calibri"/>
                <w:lang w:eastAsia="en-US"/>
              </w:rPr>
            </w:pPr>
            <w:r w:rsidRPr="00B1609C">
              <w:rPr>
                <w:rFonts w:eastAsia="Calibri"/>
                <w:lang w:eastAsia="en-US"/>
              </w:rPr>
              <w:t>„</w:t>
            </w:r>
            <w:r w:rsidRPr="00B1609C">
              <w:rPr>
                <w:rFonts w:eastAsia="Calibri"/>
                <w:b/>
                <w:lang w:eastAsia="en-US"/>
              </w:rPr>
              <w:t>A</w:t>
            </w:r>
            <w:r w:rsidRPr="00B1609C">
              <w:rPr>
                <w:rFonts w:eastAsia="Calibri"/>
                <w:lang w:eastAsia="en-US"/>
              </w:rPr>
              <w:t xml:space="preserve"> </w:t>
            </w:r>
            <w:r w:rsidRPr="00B1609C">
              <w:rPr>
                <w:rFonts w:eastAsia="Calibri"/>
                <w:b/>
                <w:lang w:eastAsia="en-US"/>
              </w:rPr>
              <w:t>beszerzések vizsgálata</w:t>
            </w:r>
            <w:r w:rsidRPr="00B1609C">
              <w:rPr>
                <w:rFonts w:eastAsia="Calibri"/>
                <w:lang w:eastAsia="en-US"/>
              </w:rPr>
              <w:t>” tárgyú 2016. évi ellenőrzési jelentésre 2016-ban készített intézkedési terv az intézményre vonatkozóan 4 db intézkedést tartalmazott, melyek végrehajtásáról 2017-ben kellett beszámolót készíteni. A beszámoló alapján a</w:t>
            </w:r>
            <w:r w:rsidR="00E449BD">
              <w:rPr>
                <w:rFonts w:eastAsia="Calibri"/>
                <w:lang w:eastAsia="en-US"/>
              </w:rPr>
              <w:t>z</w:t>
            </w:r>
            <w:r w:rsidRPr="00B1609C">
              <w:rPr>
                <w:rFonts w:eastAsia="Calibri"/>
                <w:lang w:eastAsia="en-US"/>
              </w:rPr>
              <w:t xml:space="preserve"> </w:t>
            </w:r>
            <w:r w:rsidR="00E449BD">
              <w:rPr>
                <w:rFonts w:eastAsia="Calibri"/>
                <w:lang w:eastAsia="en-US"/>
              </w:rPr>
              <w:t>intézkedéseket</w:t>
            </w:r>
            <w:r w:rsidRPr="00B1609C">
              <w:rPr>
                <w:rFonts w:eastAsia="Calibri"/>
                <w:lang w:eastAsia="en-US"/>
              </w:rPr>
              <w:t xml:space="preserve"> végrehajtották</w:t>
            </w:r>
            <w:r w:rsidR="00E449BD">
              <w:rPr>
                <w:rFonts w:eastAsia="Calibri"/>
                <w:lang w:eastAsia="en-US"/>
              </w:rPr>
              <w:t xml:space="preserve"> (1 db-ot 2016-ban, 3 db-ot pedig 2017-ben).</w:t>
            </w:r>
          </w:p>
        </w:tc>
      </w:tr>
    </w:tbl>
    <w:p w:rsidR="00026596" w:rsidRDefault="00BA2F67" w:rsidP="00BA2F67">
      <w:r w:rsidRPr="000F11B0">
        <w:t>Kaposvár, 201</w:t>
      </w:r>
      <w:r w:rsidR="000D3BA6">
        <w:t>8</w:t>
      </w:r>
      <w:r w:rsidRPr="000F11B0">
        <w:t xml:space="preserve">. </w:t>
      </w:r>
      <w:r w:rsidR="000D3BA6">
        <w:t>február 12</w:t>
      </w:r>
      <w:r w:rsidRPr="000F11B0">
        <w:t>.</w:t>
      </w:r>
    </w:p>
    <w:p w:rsidR="00B1609C" w:rsidRDefault="00B1609C" w:rsidP="00BA2F67"/>
    <w:p w:rsidR="00BA2F67" w:rsidRPr="000F11B0" w:rsidRDefault="00BA2F67" w:rsidP="00BA2F67"/>
    <w:p w:rsidR="00BA2F67" w:rsidRDefault="00BA2F67" w:rsidP="00BA2F67">
      <w:pPr>
        <w:tabs>
          <w:tab w:val="center" w:pos="7938"/>
        </w:tabs>
      </w:pPr>
      <w:r w:rsidRPr="000F11B0">
        <w:t xml:space="preserve">Készítette: </w:t>
      </w:r>
      <w:r>
        <w:t>Kiss Brigitta</w:t>
      </w:r>
      <w:r>
        <w:tab/>
        <w:t xml:space="preserve">Jóváhagyta: </w:t>
      </w:r>
      <w:r w:rsidR="00E449BD">
        <w:t>dr. Ábrahám Levente</w:t>
      </w:r>
      <w:bookmarkStart w:id="0" w:name="_GoBack"/>
      <w:bookmarkEnd w:id="0"/>
    </w:p>
    <w:p w:rsidR="00F67268" w:rsidRPr="000F11B0" w:rsidRDefault="00BA2F67" w:rsidP="00C70737">
      <w:pPr>
        <w:tabs>
          <w:tab w:val="center" w:pos="7938"/>
        </w:tabs>
      </w:pPr>
      <w:r>
        <w:t xml:space="preserve">          </w:t>
      </w:r>
      <w:proofErr w:type="gramStart"/>
      <w:r w:rsidRPr="000F11B0">
        <w:t>belső</w:t>
      </w:r>
      <w:proofErr w:type="gramEnd"/>
      <w:r w:rsidRPr="000F11B0">
        <w:t xml:space="preserve"> ellenőrzési vezető</w:t>
      </w:r>
      <w:r>
        <w:t xml:space="preserve">                                                                                   </w:t>
      </w:r>
      <w:r w:rsidR="00A7217A">
        <w:t xml:space="preserve">   </w:t>
      </w:r>
      <w:r>
        <w:t xml:space="preserve"> </w:t>
      </w:r>
      <w:r w:rsidR="00A7217A">
        <w:t>igazgató</w:t>
      </w:r>
    </w:p>
    <w:sectPr w:rsidR="00F67268" w:rsidRPr="000F11B0" w:rsidSect="001006A2">
      <w:headerReference w:type="first" r:id="rId8"/>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E5F" w:rsidRDefault="00CE5E5F" w:rsidP="00F410F1">
      <w:r>
        <w:separator/>
      </w:r>
    </w:p>
  </w:endnote>
  <w:endnote w:type="continuationSeparator" w:id="0">
    <w:p w:rsidR="00CE5E5F" w:rsidRDefault="00CE5E5F" w:rsidP="00F4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E5F" w:rsidRDefault="00CE5E5F" w:rsidP="00F410F1">
      <w:r>
        <w:separator/>
      </w:r>
    </w:p>
  </w:footnote>
  <w:footnote w:type="continuationSeparator" w:id="0">
    <w:p w:rsidR="00CE5E5F" w:rsidRDefault="00CE5E5F" w:rsidP="00F41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6A2" w:rsidRPr="001006A2" w:rsidRDefault="0049799E" w:rsidP="001006A2">
    <w:pPr>
      <w:pStyle w:val="lfej"/>
      <w:jc w:val="right"/>
      <w:rPr>
        <w:sz w:val="20"/>
        <w:szCs w:val="20"/>
      </w:rPr>
    </w:pPr>
    <w:r>
      <w:rPr>
        <w:sz w:val="20"/>
        <w:szCs w:val="20"/>
      </w:rPr>
      <w:t>1</w:t>
    </w:r>
    <w:r w:rsidR="00023DD4">
      <w:rPr>
        <w:sz w:val="20"/>
        <w:szCs w:val="20"/>
      </w:rPr>
      <w:t>6</w:t>
    </w:r>
    <w:r w:rsidR="001006A2" w:rsidRPr="001006A2">
      <w:rPr>
        <w:sz w:val="20"/>
        <w:szCs w:val="20"/>
      </w:rPr>
      <w:t>. sz. melléklet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6E66"/>
    <w:multiLevelType w:val="hybridMultilevel"/>
    <w:tmpl w:val="336ACAA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7711B99"/>
    <w:multiLevelType w:val="hybridMultilevel"/>
    <w:tmpl w:val="8B9E9A04"/>
    <w:lvl w:ilvl="0" w:tplc="5AB2E2DA">
      <w:start w:val="1"/>
      <w:numFmt w:val="decimal"/>
      <w:lvlText w:val="%1."/>
      <w:lvlJc w:val="left"/>
      <w:pPr>
        <w:tabs>
          <w:tab w:val="num" w:pos="720"/>
        </w:tabs>
        <w:ind w:left="720" w:hanging="360"/>
      </w:pPr>
      <w:rPr>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0B0E3EE1"/>
    <w:multiLevelType w:val="hybridMultilevel"/>
    <w:tmpl w:val="0D84C69A"/>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0E173EBC"/>
    <w:multiLevelType w:val="hybridMultilevel"/>
    <w:tmpl w:val="FE465D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5797EAF"/>
    <w:multiLevelType w:val="hybridMultilevel"/>
    <w:tmpl w:val="A01CD59C"/>
    <w:lvl w:ilvl="0" w:tplc="35B480AC">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15E34C10"/>
    <w:multiLevelType w:val="hybridMultilevel"/>
    <w:tmpl w:val="D32E042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165593B"/>
    <w:multiLevelType w:val="hybridMultilevel"/>
    <w:tmpl w:val="D58AB62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0E747BE"/>
    <w:multiLevelType w:val="hybridMultilevel"/>
    <w:tmpl w:val="7CE01BAC"/>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331F5C61"/>
    <w:multiLevelType w:val="hybridMultilevel"/>
    <w:tmpl w:val="556A21C2"/>
    <w:lvl w:ilvl="0" w:tplc="68AE6C16">
      <w:start w:val="1"/>
      <w:numFmt w:val="decimal"/>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9FF21D0"/>
    <w:multiLevelType w:val="hybridMultilevel"/>
    <w:tmpl w:val="6ED663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35538D"/>
    <w:multiLevelType w:val="hybridMultilevel"/>
    <w:tmpl w:val="6E287328"/>
    <w:lvl w:ilvl="0" w:tplc="040E000F">
      <w:start w:val="1"/>
      <w:numFmt w:val="decimal"/>
      <w:lvlText w:val="%1."/>
      <w:lvlJc w:val="left"/>
      <w:pPr>
        <w:ind w:left="360" w:hanging="360"/>
      </w:pPr>
      <w:rPr>
        <w:rFonts w:hint="default"/>
      </w:rPr>
    </w:lvl>
    <w:lvl w:ilvl="1" w:tplc="040E000B">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7812CF"/>
    <w:multiLevelType w:val="hybridMultilevel"/>
    <w:tmpl w:val="87B805D4"/>
    <w:lvl w:ilvl="0" w:tplc="CA9AF18E">
      <w:start w:val="1"/>
      <w:numFmt w:val="bullet"/>
      <w:lvlText w:val="-"/>
      <w:lvlJc w:val="left"/>
      <w:pPr>
        <w:ind w:left="360" w:hanging="360"/>
      </w:pPr>
      <w:rPr>
        <w:rFonts w:ascii="Times New Roman" w:eastAsia="Calibr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15:restartNumberingAfterBreak="0">
    <w:nsid w:val="48867D73"/>
    <w:multiLevelType w:val="hybridMultilevel"/>
    <w:tmpl w:val="C83081C2"/>
    <w:lvl w:ilvl="0" w:tplc="6A2691B4">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8CD2BDF"/>
    <w:multiLevelType w:val="hybridMultilevel"/>
    <w:tmpl w:val="9C249DFC"/>
    <w:lvl w:ilvl="0" w:tplc="040E0001">
      <w:start w:val="1"/>
      <w:numFmt w:val="bullet"/>
      <w:lvlText w:val=""/>
      <w:lvlJc w:val="left"/>
      <w:pPr>
        <w:tabs>
          <w:tab w:val="num" w:pos="780"/>
        </w:tabs>
        <w:ind w:left="780" w:hanging="360"/>
      </w:pPr>
      <w:rPr>
        <w:rFonts w:ascii="Symbol" w:hAnsi="Symbol"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502C6C9D"/>
    <w:multiLevelType w:val="hybridMultilevel"/>
    <w:tmpl w:val="E25C5E54"/>
    <w:lvl w:ilvl="0" w:tplc="040E000F">
      <w:start w:val="1"/>
      <w:numFmt w:val="decimal"/>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5" w15:restartNumberingAfterBreak="0">
    <w:nsid w:val="5F2136D4"/>
    <w:multiLevelType w:val="hybridMultilevel"/>
    <w:tmpl w:val="E0523B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1AC3CD9"/>
    <w:multiLevelType w:val="hybridMultilevel"/>
    <w:tmpl w:val="27B012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2360193"/>
    <w:multiLevelType w:val="hybridMultilevel"/>
    <w:tmpl w:val="01906498"/>
    <w:lvl w:ilvl="0" w:tplc="24C4F7DE">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8" w15:restartNumberingAfterBreak="0">
    <w:nsid w:val="697F7BA3"/>
    <w:multiLevelType w:val="hybridMultilevel"/>
    <w:tmpl w:val="E662ED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F636DE6"/>
    <w:multiLevelType w:val="hybridMultilevel"/>
    <w:tmpl w:val="83F6DF1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EF2714B"/>
    <w:multiLevelType w:val="hybridMultilevel"/>
    <w:tmpl w:val="E322279E"/>
    <w:lvl w:ilvl="0" w:tplc="5AB2E2DA">
      <w:start w:val="1"/>
      <w:numFmt w:val="decimal"/>
      <w:lvlText w:val="%1."/>
      <w:lvlJc w:val="left"/>
      <w:pPr>
        <w:tabs>
          <w:tab w:val="num" w:pos="720"/>
        </w:tabs>
        <w:ind w:left="720" w:hanging="360"/>
      </w:pPr>
      <w:rPr>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3"/>
  </w:num>
  <w:num w:numId="2">
    <w:abstractNumId w:val="16"/>
  </w:num>
  <w:num w:numId="3">
    <w:abstractNumId w:val="18"/>
  </w:num>
  <w:num w:numId="4">
    <w:abstractNumId w:val="17"/>
  </w:num>
  <w:num w:numId="5">
    <w:abstractNumId w:val="11"/>
  </w:num>
  <w:num w:numId="6">
    <w:abstractNumId w:val="14"/>
  </w:num>
  <w:num w:numId="7">
    <w:abstractNumId w:val="20"/>
  </w:num>
  <w:num w:numId="8">
    <w:abstractNumId w:val="1"/>
  </w:num>
  <w:num w:numId="9">
    <w:abstractNumId w:val="8"/>
  </w:num>
  <w:num w:numId="10">
    <w:abstractNumId w:val="19"/>
  </w:num>
  <w:num w:numId="11">
    <w:abstractNumId w:val="0"/>
  </w:num>
  <w:num w:numId="12">
    <w:abstractNumId w:val="6"/>
  </w:num>
  <w:num w:numId="13">
    <w:abstractNumId w:val="15"/>
  </w:num>
  <w:num w:numId="14">
    <w:abstractNumId w:val="9"/>
  </w:num>
  <w:num w:numId="15">
    <w:abstractNumId w:val="10"/>
  </w:num>
  <w:num w:numId="16">
    <w:abstractNumId w:val="3"/>
  </w:num>
  <w:num w:numId="17">
    <w:abstractNumId w:val="7"/>
  </w:num>
  <w:num w:numId="18">
    <w:abstractNumId w:val="4"/>
  </w:num>
  <w:num w:numId="19">
    <w:abstractNumId w:val="12"/>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68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B4D"/>
    <w:rsid w:val="00004820"/>
    <w:rsid w:val="00005B76"/>
    <w:rsid w:val="00023DD4"/>
    <w:rsid w:val="00026596"/>
    <w:rsid w:val="00060AEE"/>
    <w:rsid w:val="000627C0"/>
    <w:rsid w:val="00070B20"/>
    <w:rsid w:val="0007309E"/>
    <w:rsid w:val="000746AA"/>
    <w:rsid w:val="0008073C"/>
    <w:rsid w:val="00097EF6"/>
    <w:rsid w:val="000A5656"/>
    <w:rsid w:val="000B0203"/>
    <w:rsid w:val="000B108B"/>
    <w:rsid w:val="000B359A"/>
    <w:rsid w:val="000D3BA6"/>
    <w:rsid w:val="000F11B0"/>
    <w:rsid w:val="001006A2"/>
    <w:rsid w:val="001062CE"/>
    <w:rsid w:val="00106CDA"/>
    <w:rsid w:val="00126456"/>
    <w:rsid w:val="00137EEC"/>
    <w:rsid w:val="00146B2A"/>
    <w:rsid w:val="00172774"/>
    <w:rsid w:val="00173398"/>
    <w:rsid w:val="00175EE5"/>
    <w:rsid w:val="00182052"/>
    <w:rsid w:val="001A07D1"/>
    <w:rsid w:val="001A39E4"/>
    <w:rsid w:val="001C4270"/>
    <w:rsid w:val="001C589F"/>
    <w:rsid w:val="001D0EEF"/>
    <w:rsid w:val="001D68C8"/>
    <w:rsid w:val="001F03EC"/>
    <w:rsid w:val="001F365F"/>
    <w:rsid w:val="00207A23"/>
    <w:rsid w:val="00215395"/>
    <w:rsid w:val="00231CC8"/>
    <w:rsid w:val="00273003"/>
    <w:rsid w:val="00277B9B"/>
    <w:rsid w:val="002928FF"/>
    <w:rsid w:val="002B399F"/>
    <w:rsid w:val="002D153C"/>
    <w:rsid w:val="002F3811"/>
    <w:rsid w:val="00300A08"/>
    <w:rsid w:val="00302120"/>
    <w:rsid w:val="00315FA4"/>
    <w:rsid w:val="003161B5"/>
    <w:rsid w:val="00316EB9"/>
    <w:rsid w:val="00320B4D"/>
    <w:rsid w:val="00321751"/>
    <w:rsid w:val="003247EC"/>
    <w:rsid w:val="00337AAB"/>
    <w:rsid w:val="003470AE"/>
    <w:rsid w:val="00351A84"/>
    <w:rsid w:val="00366C9C"/>
    <w:rsid w:val="0036757E"/>
    <w:rsid w:val="00393D64"/>
    <w:rsid w:val="003A3A86"/>
    <w:rsid w:val="003A41C1"/>
    <w:rsid w:val="003B0250"/>
    <w:rsid w:val="003B3E5B"/>
    <w:rsid w:val="003B6F33"/>
    <w:rsid w:val="003B75B7"/>
    <w:rsid w:val="003C0EB4"/>
    <w:rsid w:val="003D3A7E"/>
    <w:rsid w:val="003E1C31"/>
    <w:rsid w:val="003E4229"/>
    <w:rsid w:val="004233D8"/>
    <w:rsid w:val="00440385"/>
    <w:rsid w:val="0044487A"/>
    <w:rsid w:val="00445DDB"/>
    <w:rsid w:val="00447722"/>
    <w:rsid w:val="00454CDB"/>
    <w:rsid w:val="00455857"/>
    <w:rsid w:val="00467EBD"/>
    <w:rsid w:val="00475BD1"/>
    <w:rsid w:val="00497498"/>
    <w:rsid w:val="0049799E"/>
    <w:rsid w:val="004A591F"/>
    <w:rsid w:val="004B708C"/>
    <w:rsid w:val="004D516A"/>
    <w:rsid w:val="00512443"/>
    <w:rsid w:val="0053057C"/>
    <w:rsid w:val="00536390"/>
    <w:rsid w:val="00537D1F"/>
    <w:rsid w:val="0054229F"/>
    <w:rsid w:val="005470C6"/>
    <w:rsid w:val="00566911"/>
    <w:rsid w:val="005822B2"/>
    <w:rsid w:val="00591C10"/>
    <w:rsid w:val="00594D68"/>
    <w:rsid w:val="005A06B3"/>
    <w:rsid w:val="005B0B73"/>
    <w:rsid w:val="005B7068"/>
    <w:rsid w:val="005C2308"/>
    <w:rsid w:val="005C4591"/>
    <w:rsid w:val="005C59B0"/>
    <w:rsid w:val="005C5B50"/>
    <w:rsid w:val="005D1FE4"/>
    <w:rsid w:val="005D2EFF"/>
    <w:rsid w:val="005D55D5"/>
    <w:rsid w:val="005F4730"/>
    <w:rsid w:val="00601EE9"/>
    <w:rsid w:val="00602D86"/>
    <w:rsid w:val="00623497"/>
    <w:rsid w:val="00652E87"/>
    <w:rsid w:val="00656C58"/>
    <w:rsid w:val="006613B4"/>
    <w:rsid w:val="00671C8D"/>
    <w:rsid w:val="00675621"/>
    <w:rsid w:val="006A0B4C"/>
    <w:rsid w:val="006A1F8C"/>
    <w:rsid w:val="006A30A8"/>
    <w:rsid w:val="006B128C"/>
    <w:rsid w:val="006D3051"/>
    <w:rsid w:val="00717592"/>
    <w:rsid w:val="00732ADD"/>
    <w:rsid w:val="007427E8"/>
    <w:rsid w:val="00747307"/>
    <w:rsid w:val="00751A50"/>
    <w:rsid w:val="00754A0E"/>
    <w:rsid w:val="00766B16"/>
    <w:rsid w:val="007A068D"/>
    <w:rsid w:val="007A2213"/>
    <w:rsid w:val="007A557E"/>
    <w:rsid w:val="007C3169"/>
    <w:rsid w:val="007C66F8"/>
    <w:rsid w:val="007C7277"/>
    <w:rsid w:val="007D599A"/>
    <w:rsid w:val="007E6C6E"/>
    <w:rsid w:val="007F0BD3"/>
    <w:rsid w:val="00802622"/>
    <w:rsid w:val="00822F39"/>
    <w:rsid w:val="008526C8"/>
    <w:rsid w:val="00853F6E"/>
    <w:rsid w:val="0085796B"/>
    <w:rsid w:val="008607FC"/>
    <w:rsid w:val="00864BA0"/>
    <w:rsid w:val="00870FE1"/>
    <w:rsid w:val="008A1159"/>
    <w:rsid w:val="008A591E"/>
    <w:rsid w:val="008B0F2E"/>
    <w:rsid w:val="008B35F7"/>
    <w:rsid w:val="008D691C"/>
    <w:rsid w:val="008E4989"/>
    <w:rsid w:val="00927303"/>
    <w:rsid w:val="0093580A"/>
    <w:rsid w:val="0095376D"/>
    <w:rsid w:val="00956648"/>
    <w:rsid w:val="00957753"/>
    <w:rsid w:val="00961E6C"/>
    <w:rsid w:val="009646B8"/>
    <w:rsid w:val="00985182"/>
    <w:rsid w:val="00985642"/>
    <w:rsid w:val="009A0A8B"/>
    <w:rsid w:val="009C7AF9"/>
    <w:rsid w:val="009D56FE"/>
    <w:rsid w:val="009D77F5"/>
    <w:rsid w:val="00A10EF5"/>
    <w:rsid w:val="00A12EB8"/>
    <w:rsid w:val="00A1352C"/>
    <w:rsid w:val="00A2066F"/>
    <w:rsid w:val="00A24828"/>
    <w:rsid w:val="00A3181A"/>
    <w:rsid w:val="00A3678A"/>
    <w:rsid w:val="00A511DC"/>
    <w:rsid w:val="00A54E1B"/>
    <w:rsid w:val="00A567A3"/>
    <w:rsid w:val="00A57810"/>
    <w:rsid w:val="00A57926"/>
    <w:rsid w:val="00A6583E"/>
    <w:rsid w:val="00A7217A"/>
    <w:rsid w:val="00A74800"/>
    <w:rsid w:val="00A9147D"/>
    <w:rsid w:val="00A97F19"/>
    <w:rsid w:val="00AC3264"/>
    <w:rsid w:val="00AC6F83"/>
    <w:rsid w:val="00B0591C"/>
    <w:rsid w:val="00B11FE2"/>
    <w:rsid w:val="00B1609C"/>
    <w:rsid w:val="00B223A8"/>
    <w:rsid w:val="00B64D14"/>
    <w:rsid w:val="00B907B3"/>
    <w:rsid w:val="00B912E2"/>
    <w:rsid w:val="00BA1F11"/>
    <w:rsid w:val="00BA2F67"/>
    <w:rsid w:val="00BC4E37"/>
    <w:rsid w:val="00BC62DC"/>
    <w:rsid w:val="00BE420A"/>
    <w:rsid w:val="00BE4DB0"/>
    <w:rsid w:val="00C03861"/>
    <w:rsid w:val="00C11520"/>
    <w:rsid w:val="00C142B0"/>
    <w:rsid w:val="00C63CAD"/>
    <w:rsid w:val="00C70737"/>
    <w:rsid w:val="00C92E3D"/>
    <w:rsid w:val="00CD4BC0"/>
    <w:rsid w:val="00CE5E5F"/>
    <w:rsid w:val="00D02D25"/>
    <w:rsid w:val="00D17CDA"/>
    <w:rsid w:val="00D22010"/>
    <w:rsid w:val="00D23BAB"/>
    <w:rsid w:val="00D661C2"/>
    <w:rsid w:val="00D72AE2"/>
    <w:rsid w:val="00D7715D"/>
    <w:rsid w:val="00D81F46"/>
    <w:rsid w:val="00D86806"/>
    <w:rsid w:val="00D96883"/>
    <w:rsid w:val="00DB6555"/>
    <w:rsid w:val="00DC0AA4"/>
    <w:rsid w:val="00DC2AC6"/>
    <w:rsid w:val="00DC626F"/>
    <w:rsid w:val="00DE2615"/>
    <w:rsid w:val="00E234D3"/>
    <w:rsid w:val="00E33ED3"/>
    <w:rsid w:val="00E449BD"/>
    <w:rsid w:val="00E464F2"/>
    <w:rsid w:val="00E87B09"/>
    <w:rsid w:val="00ED267F"/>
    <w:rsid w:val="00EF5A6D"/>
    <w:rsid w:val="00F236E7"/>
    <w:rsid w:val="00F2459A"/>
    <w:rsid w:val="00F40D53"/>
    <w:rsid w:val="00F410F1"/>
    <w:rsid w:val="00F4743B"/>
    <w:rsid w:val="00F613D6"/>
    <w:rsid w:val="00F67268"/>
    <w:rsid w:val="00F679E8"/>
    <w:rsid w:val="00F872A9"/>
    <w:rsid w:val="00F90686"/>
    <w:rsid w:val="00FB24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0E8444-C68C-4AD3-BD61-D5A6DDCB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20B4D"/>
    <w:rPr>
      <w:rFonts w:ascii="Times New Roman" w:eastAsia="Times New Roman" w:hAnsi="Times New Roman"/>
      <w:sz w:val="24"/>
      <w:szCs w:val="24"/>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20B4D"/>
    <w:pPr>
      <w:ind w:left="720"/>
      <w:contextualSpacing/>
    </w:pPr>
  </w:style>
  <w:style w:type="paragraph" w:styleId="lfej">
    <w:name w:val="header"/>
    <w:basedOn w:val="Norml"/>
    <w:link w:val="lfejChar"/>
    <w:uiPriority w:val="99"/>
    <w:unhideWhenUsed/>
    <w:rsid w:val="00F410F1"/>
    <w:pPr>
      <w:tabs>
        <w:tab w:val="center" w:pos="4536"/>
        <w:tab w:val="right" w:pos="9072"/>
      </w:tabs>
    </w:pPr>
  </w:style>
  <w:style w:type="character" w:customStyle="1" w:styleId="lfejChar">
    <w:name w:val="Élőfej Char"/>
    <w:basedOn w:val="Bekezdsalapbettpusa"/>
    <w:link w:val="lfej"/>
    <w:uiPriority w:val="99"/>
    <w:rsid w:val="00F410F1"/>
    <w:rPr>
      <w:rFonts w:ascii="Times New Roman" w:eastAsia="Times New Roman" w:hAnsi="Times New Roman" w:cs="Times New Roman"/>
      <w:sz w:val="24"/>
      <w:szCs w:val="24"/>
      <w:lang w:val="en-GB" w:eastAsia="hu-HU"/>
    </w:rPr>
  </w:style>
  <w:style w:type="paragraph" w:styleId="llb">
    <w:name w:val="footer"/>
    <w:basedOn w:val="Norml"/>
    <w:link w:val="llbChar"/>
    <w:uiPriority w:val="99"/>
    <w:unhideWhenUsed/>
    <w:rsid w:val="00F410F1"/>
    <w:pPr>
      <w:tabs>
        <w:tab w:val="center" w:pos="4536"/>
        <w:tab w:val="right" w:pos="9072"/>
      </w:tabs>
    </w:pPr>
  </w:style>
  <w:style w:type="character" w:customStyle="1" w:styleId="llbChar">
    <w:name w:val="Élőláb Char"/>
    <w:basedOn w:val="Bekezdsalapbettpusa"/>
    <w:link w:val="llb"/>
    <w:uiPriority w:val="99"/>
    <w:rsid w:val="00F410F1"/>
    <w:rPr>
      <w:rFonts w:ascii="Times New Roman" w:eastAsia="Times New Roman" w:hAnsi="Times New Roman" w:cs="Times New Roman"/>
      <w:sz w:val="24"/>
      <w:szCs w:val="24"/>
      <w:lang w:val="en-GB" w:eastAsia="hu-HU"/>
    </w:rPr>
  </w:style>
  <w:style w:type="paragraph" w:styleId="Buborkszveg">
    <w:name w:val="Balloon Text"/>
    <w:basedOn w:val="Norml"/>
    <w:link w:val="BuborkszvegChar"/>
    <w:uiPriority w:val="99"/>
    <w:semiHidden/>
    <w:unhideWhenUsed/>
    <w:rsid w:val="00F410F1"/>
    <w:rPr>
      <w:rFonts w:ascii="Tahoma" w:hAnsi="Tahoma" w:cs="Tahoma"/>
      <w:sz w:val="16"/>
      <w:szCs w:val="16"/>
    </w:rPr>
  </w:style>
  <w:style w:type="character" w:customStyle="1" w:styleId="BuborkszvegChar">
    <w:name w:val="Buborékszöveg Char"/>
    <w:basedOn w:val="Bekezdsalapbettpusa"/>
    <w:link w:val="Buborkszveg"/>
    <w:uiPriority w:val="99"/>
    <w:semiHidden/>
    <w:rsid w:val="00F410F1"/>
    <w:rPr>
      <w:rFonts w:ascii="Tahoma" w:eastAsia="Times New Roman" w:hAnsi="Tahoma" w:cs="Tahoma"/>
      <w:sz w:val="16"/>
      <w:szCs w:val="16"/>
      <w:lang w:val="en-GB" w:eastAsia="hu-HU"/>
    </w:rPr>
  </w:style>
  <w:style w:type="table" w:styleId="Rcsostblzat">
    <w:name w:val="Table Grid"/>
    <w:basedOn w:val="Normltblzat"/>
    <w:uiPriority w:val="59"/>
    <w:rsid w:val="00732A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C5CD5-0028-4468-B477-10E0FBE7B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2543</Words>
  <Characters>17552</Characters>
  <Application>Microsoft Office Word</Application>
  <DocSecurity>0</DocSecurity>
  <Lines>146</Lines>
  <Paragraphs>40</Paragraphs>
  <ScaleCrop>false</ScaleCrop>
  <HeadingPairs>
    <vt:vector size="2" baseType="variant">
      <vt:variant>
        <vt:lpstr>Cím</vt:lpstr>
      </vt:variant>
      <vt:variant>
        <vt:i4>1</vt:i4>
      </vt:variant>
    </vt:vector>
  </HeadingPairs>
  <TitlesOfParts>
    <vt:vector size="1" baseType="lpstr">
      <vt:lpstr/>
    </vt:vector>
  </TitlesOfParts>
  <Company>mkjvpmh</Company>
  <LinksUpToDate>false</LinksUpToDate>
  <CharactersWithSpaces>20055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kissbrigitta</dc:creator>
  <cp:keywords/>
  <dc:description/>
  <cp:lastModifiedBy>KissBrigitta</cp:lastModifiedBy>
  <cp:revision>5</cp:revision>
  <cp:lastPrinted>2017-03-07T09:49:00Z</cp:lastPrinted>
  <dcterms:created xsi:type="dcterms:W3CDTF">2018-03-08T10:26:00Z</dcterms:created>
  <dcterms:modified xsi:type="dcterms:W3CDTF">2018-03-08T13:24:00Z</dcterms:modified>
</cp:coreProperties>
</file>