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0B0203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9D2A9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Kaposvári </w:t>
            </w:r>
            <w:r w:rsidR="009D2A93">
              <w:rPr>
                <w:rFonts w:eastAsia="Calibri"/>
                <w:b/>
                <w:lang w:eastAsia="en-US"/>
              </w:rPr>
              <w:t>Rét Utcai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5822B2">
              <w:rPr>
                <w:rFonts w:eastAsia="Calibri"/>
                <w:b/>
                <w:lang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BC62DC">
              <w:rPr>
                <w:rFonts w:eastAsia="Calibri"/>
                <w:b/>
                <w:lang w:eastAsia="en-US"/>
              </w:rPr>
              <w:t>7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7A557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0B0203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7A557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BC62DC">
              <w:rPr>
                <w:rFonts w:eastAsia="Calibri"/>
                <w:lang w:eastAsia="en-US"/>
              </w:rPr>
              <w:t>7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54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0B0203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C63CAD" w:rsidRPr="00F67268" w:rsidTr="000B0203">
              <w:tc>
                <w:tcPr>
                  <w:tcW w:w="2193" w:type="dxa"/>
                </w:tcPr>
                <w:p w:rsidR="00C63CAD" w:rsidRPr="00956648" w:rsidRDefault="003470AE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Állami támogatások elszámolása</w:t>
                  </w:r>
                </w:p>
              </w:tc>
              <w:tc>
                <w:tcPr>
                  <w:tcW w:w="3589" w:type="dxa"/>
                </w:tcPr>
                <w:p w:rsidR="00C63CAD" w:rsidRPr="00956648" w:rsidRDefault="003470AE" w:rsidP="003470AE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Az állami támogatásokat megalapozó jogosultsági feltételek (az óvodapedagógusok nevelő munkáját közvetlenül segítő alkalmazottak és a minősített pedagógusok létszámának) megállapítása</w:t>
                  </w:r>
                </w:p>
              </w:tc>
              <w:tc>
                <w:tcPr>
                  <w:tcW w:w="4167" w:type="dxa"/>
                </w:tcPr>
                <w:p w:rsidR="00C63CAD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0203" w:rsidRPr="00F67268" w:rsidTr="000B0203">
              <w:tc>
                <w:tcPr>
                  <w:tcW w:w="2193" w:type="dxa"/>
                </w:tcPr>
                <w:p w:rsidR="000B0203" w:rsidRPr="00956648" w:rsidRDefault="003470AE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Selejtezési és leltározási tevékenység</w:t>
                  </w:r>
                  <w:r w:rsidR="000B0203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vizsgálata</w:t>
                  </w:r>
                </w:p>
              </w:tc>
              <w:tc>
                <w:tcPr>
                  <w:tcW w:w="3589" w:type="dxa"/>
                </w:tcPr>
                <w:p w:rsidR="000B0203" w:rsidRPr="00956648" w:rsidRDefault="000B0203" w:rsidP="003470A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Annak </w:t>
                  </w:r>
                  <w:r w:rsidR="003470AE">
                    <w:rPr>
                      <w:sz w:val="20"/>
                      <w:szCs w:val="20"/>
                    </w:rPr>
                    <w:t>vizsgálata, hogy az intézményben a selejtezési és leltározási tevékenység lebonyolítása során betartották-e a jogszabályi előírásokat és a helyi szabályozásban foglaltakat.</w:t>
                  </w:r>
                </w:p>
              </w:tc>
              <w:tc>
                <w:tcPr>
                  <w:tcW w:w="4167" w:type="dxa"/>
                </w:tcPr>
                <w:p w:rsidR="000B0203" w:rsidRPr="00956648" w:rsidRDefault="000B0203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A2066F" w:rsidRPr="00F67268" w:rsidTr="000B0203">
              <w:tc>
                <w:tcPr>
                  <w:tcW w:w="2193" w:type="dxa"/>
                </w:tcPr>
                <w:p w:rsidR="00A2066F" w:rsidRPr="00956648" w:rsidRDefault="003470AE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2016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</w:tbl>
          <w:p w:rsidR="003470AE" w:rsidRDefault="003470AE" w:rsidP="00656C58">
            <w:pPr>
              <w:rPr>
                <w:rFonts w:eastAsia="Calibri"/>
                <w:lang w:eastAsia="en-US"/>
              </w:rPr>
            </w:pPr>
          </w:p>
          <w:p w:rsidR="003B75B7" w:rsidRDefault="003B75B7" w:rsidP="00656C5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</w:t>
            </w:r>
            <w:r w:rsidR="003470AE">
              <w:rPr>
                <w:rFonts w:eastAsia="Calibri"/>
                <w:lang w:eastAsia="en-US"/>
              </w:rPr>
              <w:t>ek a jóváhagyott 2017</w:t>
            </w:r>
            <w:r w:rsidR="00656C58">
              <w:rPr>
                <w:rFonts w:eastAsia="Calibri"/>
                <w:lang w:eastAsia="en-US"/>
              </w:rPr>
              <w:t>. évi ellenőrzési munkaterv alapján kerültek végrehajtásra.</w:t>
            </w:r>
          </w:p>
          <w:p w:rsidR="000B0203" w:rsidRPr="00F67268" w:rsidRDefault="000B0203" w:rsidP="00656C58"/>
        </w:tc>
      </w:tr>
      <w:tr w:rsidR="003B75B7" w:rsidRPr="00F67268" w:rsidTr="007A557E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bizonyosságot adó tevékenységet </w:t>
            </w:r>
            <w:r w:rsidRPr="00F67268">
              <w:rPr>
                <w:rFonts w:eastAsia="Calibri"/>
                <w:b/>
                <w:lang w:eastAsia="en-US"/>
              </w:rPr>
              <w:lastRenderedPageBreak/>
              <w:t>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7A557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7A557E">
        <w:trPr>
          <w:trHeight w:val="1275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A511DC" w:rsidRPr="00F67268" w:rsidRDefault="005B0B73" w:rsidP="00026596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0B0203">
        <w:tc>
          <w:tcPr>
            <w:tcW w:w="5000" w:type="pct"/>
            <w:gridSpan w:val="10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7A557E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A511DC" w:rsidRPr="00026596" w:rsidRDefault="00F67268" w:rsidP="00026596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7A557E">
        <w:trPr>
          <w:trHeight w:val="1275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026596" w:rsidRDefault="005B0B73" w:rsidP="00300A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5B0B73" w:rsidRPr="00026596" w:rsidRDefault="005B0B73" w:rsidP="00300A08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639"/>
              <w:gridCol w:w="3449"/>
            </w:tblGrid>
            <w:tr w:rsidR="007427E8" w:rsidRPr="0044525D" w:rsidTr="00BA1F11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F90686" w:rsidRDefault="000B0203" w:rsidP="00F90686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0B0203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Default="005A06B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Állami támogatások elszámolása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F39" w:rsidRPr="005A06B3" w:rsidRDefault="000B0203" w:rsidP="00BA1F11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Az intézmény az „Adatszolgáltatás a pedagógusmunkát közvet</w:t>
                  </w:r>
                  <w:r w:rsidR="005A06B3"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lenül segítők létszámáról a 2016</w:t>
                  </w: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évi állami támogatások elszámolásához” című táblázatban a közalkalmazottak munkakörét, heti munkaidejét és a jogviszonyuk fennállását megfelelően szerepeltette. </w:t>
                  </w:r>
                </w:p>
                <w:p w:rsidR="005A06B3" w:rsidRPr="005A06B3" w:rsidRDefault="005A06B3" w:rsidP="005A06B3">
                  <w:pPr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„Adatszolgáltatás a minősített pedagógusok létszámáról, jogviszonyuk idejéről a 2016. évi állami támogatás elszámolásához” című táblázat adatai a vizsgálat során a tanúsítványoknak megfelelően módosításra kerültek.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0203" w:rsidRPr="00475BD1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ellenőrzési jelentés javaslatot nem fogalmazott meg.</w:t>
                  </w:r>
                </w:p>
                <w:p w:rsidR="000B0203" w:rsidRPr="00475BD1" w:rsidRDefault="000B0203" w:rsidP="00BA1F11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0203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Default="005A06B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Selejtezési és leltározási tevékenység</w:t>
                  </w:r>
                  <w:r w:rsidR="000B0203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B92" w:rsidRPr="00B30B92" w:rsidRDefault="00B30B92" w:rsidP="00B30B9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A Kaposvári Rét Utcai Központi Óvoda önálló leltározási és selejtezési szabályzattal nem rendelkezik. Az Általános Iskolai, Óvodai és Egészségügyi Gondnokság felesleges vagyontárgyak hasznosításának, selejtezési szabályzatának (a továbbiakban: GESZ Selejtezési szabályzat), valamint az Általános Iskolai, Óvodai és Egészségügyi Gondnokság eszközök és források leltárkészítési és leltározási szabályzatának (a továbbiakban: GESZ Leltározási szabályzat) hatálya az óvodákra nem terjed ki teljes körűen, mégis azok előírásait követik.</w:t>
                  </w:r>
                </w:p>
                <w:p w:rsidR="00B30B92" w:rsidRPr="00B30B92" w:rsidRDefault="00B30B92" w:rsidP="00B30B9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lastRenderedPageBreak/>
                    <w:t>A vizsgálatot megelőzően az utolsó selejtezés és leltározás 2015. évben történt meg.</w:t>
                  </w:r>
                </w:p>
                <w:p w:rsidR="00B30B92" w:rsidRPr="00B30B92" w:rsidRDefault="00B30B92" w:rsidP="00B30B9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Az ellenőrzés során a 2015. évre vonatkozó jogszabályi előírások és a GESZ vonatkozó szabályzatai alapján vizsgáltuk a 2015. évben felvett leltárt és az azt megelőző selejtezést.</w:t>
                  </w:r>
                </w:p>
                <w:p w:rsidR="00B30B92" w:rsidRPr="00B30B92" w:rsidRDefault="00B30B92" w:rsidP="00B30B9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A Központi Óvodában selejtezési eljárást folytattak le 2015. június 25-én a leltározási eljárást megelőzően 14 nappal a „</w:t>
                  </w:r>
                  <w:proofErr w:type="spellStart"/>
                  <w:r w:rsidRPr="00B30B92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B30B92">
                    <w:rPr>
                      <w:sz w:val="16"/>
                      <w:szCs w:val="16"/>
                    </w:rPr>
                    <w:t>” tárgyi eszközök esetében; a kis értékű eszközök selejtezése 2015. június 19-én történt meg 6 nappal a leltározás előtt. A leltározásokat követően az év végén a „</w:t>
                  </w:r>
                  <w:proofErr w:type="spellStart"/>
                  <w:r w:rsidRPr="00B30B92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B30B92">
                    <w:rPr>
                      <w:sz w:val="16"/>
                      <w:szCs w:val="16"/>
                    </w:rPr>
                    <w:t>” tárgyi eszközök és az épülettartozékok esetében folytattak még le selejtezést.</w:t>
                  </w:r>
                </w:p>
                <w:p w:rsidR="00B30B92" w:rsidRPr="00B30B92" w:rsidRDefault="00B30B92" w:rsidP="00B30B9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A Kaposvári Rét Utcai Központi Óvoda Szigetvár Utcai Tagóvodájában selejtezési eljárást nem folytattak le a leltározás előtt a „</w:t>
                  </w:r>
                  <w:proofErr w:type="spellStart"/>
                  <w:r w:rsidRPr="00B30B92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B30B92">
                    <w:rPr>
                      <w:sz w:val="16"/>
                      <w:szCs w:val="16"/>
                    </w:rPr>
                    <w:t>” eszközöknél. A kis értékű eszközök selejtezése a leltározás előtti napon 2015. június 23-án történt meg. A leltározásokat követően az év végén az épülettartozékok esetében folytattak még le selejtezést.</w:t>
                  </w:r>
                </w:p>
                <w:p w:rsidR="00B30B92" w:rsidRPr="00B30B92" w:rsidRDefault="00B30B92" w:rsidP="00B30B9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A Kaposvári Rét Utcai Központi Óvoda Madár Utcai Tagóvodában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30B92">
                    <w:rPr>
                      <w:sz w:val="16"/>
                      <w:szCs w:val="16"/>
                    </w:rPr>
                    <w:t>selejtezési eljárást folytattak le 2015. június 25-én a leltározási eljárást megelőzően 33 nappal a „</w:t>
                  </w:r>
                  <w:proofErr w:type="spellStart"/>
                  <w:r w:rsidRPr="00B30B92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B30B92">
                    <w:rPr>
                      <w:sz w:val="16"/>
                      <w:szCs w:val="16"/>
                    </w:rPr>
                    <w:t>” tárgyi eszközök esetében; a kis értékű eszközök selejtezése 2015. június 22-én történt meg, 1 nappal a leltározás előtt. A leltározásokat követően az év végén a „</w:t>
                  </w:r>
                  <w:proofErr w:type="spellStart"/>
                  <w:r w:rsidRPr="00B30B92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B30B92">
                    <w:rPr>
                      <w:sz w:val="16"/>
                      <w:szCs w:val="16"/>
                    </w:rPr>
                    <w:t>” tárgyi eszközök és az épülettartozékok esetében folytattak még le selejtezést.</w:t>
                  </w:r>
                </w:p>
                <w:p w:rsidR="00B30B92" w:rsidRPr="00B30B92" w:rsidRDefault="00B30B92" w:rsidP="00B30B9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Megállapítások a selejtezési eljárással kapcsolatban:</w:t>
                  </w:r>
                </w:p>
                <w:p w:rsidR="00B30B92" w:rsidRPr="00B30B92" w:rsidRDefault="00B30B92" w:rsidP="00B30B9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A selejtezési bizottság tagjai részére megbízólevél nem készült. A selejtezési javaslatokat nem a „Selejtezési jegyzék”</w:t>
                  </w:r>
                  <w:proofErr w:type="spellStart"/>
                  <w:r w:rsidRPr="00B30B92">
                    <w:rPr>
                      <w:sz w:val="16"/>
                      <w:szCs w:val="16"/>
                    </w:rPr>
                    <w:t>-en</w:t>
                  </w:r>
                  <w:proofErr w:type="spellEnd"/>
                  <w:r w:rsidRPr="00B30B92">
                    <w:rPr>
                      <w:sz w:val="16"/>
                      <w:szCs w:val="16"/>
                    </w:rPr>
                    <w:t xml:space="preserve"> rögzítették. A GESZ Selejtezési szabályzat mellékletében lévő jegyzőkönyv formátuma nem egyezett meg a használatban lévővel. Három esetben az átadott dokumentum nem tartalmazta a selejtezésre szánt „</w:t>
                  </w:r>
                  <w:proofErr w:type="spellStart"/>
                  <w:r w:rsidRPr="00B30B92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B30B92">
                    <w:rPr>
                      <w:sz w:val="16"/>
                      <w:szCs w:val="16"/>
                    </w:rPr>
                    <w:t>” tárgyi eszköz felülvizsgálata során beszerzendő szakértői véleményt.</w:t>
                  </w:r>
                  <w:r w:rsidRPr="00B30B9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B30B92">
                    <w:rPr>
                      <w:sz w:val="16"/>
                      <w:szCs w:val="16"/>
                    </w:rPr>
                    <w:t>A selejtezés egy esetet leszámítva kevesebb, mint 30 nappal a leltározást megelőzően történt. A jegyzőkönyvet és mellékleteit hiányosan töltötték ki, illetve hiányosan hitelesítették, továbbá nem tartalmazták a selejtezésben részt vevő GESZ munkatárs nevét és aláírását. A szabályzattal ellentétben a selejtezési hatáskör megjelölésénél az „óvodavezető” került feltüntetésre a gondnokság vezetője helyett. Az engedélyező aláírásánál helytelenül az intézményvezető aláírása szerepel.</w:t>
                  </w:r>
                  <w:r w:rsidRPr="00B30B9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B30B92">
                    <w:rPr>
                      <w:sz w:val="16"/>
                      <w:szCs w:val="16"/>
                    </w:rPr>
                    <w:t xml:space="preserve">A </w:t>
                  </w:r>
                  <w:r w:rsidRPr="00B30B92">
                    <w:rPr>
                      <w:sz w:val="16"/>
                      <w:szCs w:val="16"/>
                    </w:rPr>
                    <w:lastRenderedPageBreak/>
                    <w:t>megsemmisítés módjáról bizottsági javaslat nem született. A ”Megsemmisítési jegyzőkönyv”</w:t>
                  </w:r>
                  <w:proofErr w:type="spellStart"/>
                  <w:r w:rsidRPr="00B30B92">
                    <w:rPr>
                      <w:sz w:val="16"/>
                      <w:szCs w:val="16"/>
                    </w:rPr>
                    <w:t>-ek</w:t>
                  </w:r>
                  <w:proofErr w:type="spellEnd"/>
                  <w:r w:rsidRPr="00B30B92">
                    <w:rPr>
                      <w:sz w:val="16"/>
                      <w:szCs w:val="16"/>
                    </w:rPr>
                    <w:t xml:space="preserve"> egyik esetben sem tartalmazták a megsemmisítésért kijelölt aláírását a „Megsemmisítette” résznél, több esetben pedig a megsemmisítés módjának megjelölését. A selejtezési eljárás szabályszerű végrehajtásának ellenőrzése nem történt meg.</w:t>
                  </w:r>
                </w:p>
                <w:p w:rsidR="00B30B92" w:rsidRPr="00B30B92" w:rsidRDefault="00B30B92" w:rsidP="00B30B9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Megállapítások a leltározási eljárással kapcsolatban:</w:t>
                  </w:r>
                </w:p>
                <w:p w:rsidR="00B30B92" w:rsidRPr="00B30B92" w:rsidRDefault="00B30B92" w:rsidP="00B30B9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 xml:space="preserve">A </w:t>
                  </w:r>
                  <w:r w:rsidRPr="00B30B92">
                    <w:rPr>
                      <w:sz w:val="16"/>
                      <w:szCs w:val="16"/>
                      <w:u w:val="single"/>
                    </w:rPr>
                    <w:t>„</w:t>
                  </w:r>
                  <w:proofErr w:type="spellStart"/>
                  <w:r w:rsidRPr="00B30B92">
                    <w:rPr>
                      <w:sz w:val="16"/>
                      <w:szCs w:val="16"/>
                      <w:u w:val="single"/>
                    </w:rPr>
                    <w:t>nagyértékű</w:t>
                  </w:r>
                  <w:proofErr w:type="spellEnd"/>
                  <w:r w:rsidRPr="00B30B92">
                    <w:rPr>
                      <w:sz w:val="16"/>
                      <w:szCs w:val="16"/>
                      <w:u w:val="single"/>
                    </w:rPr>
                    <w:t>” tárgyi eszközökről és épülettartozékokról</w:t>
                  </w:r>
                  <w:r w:rsidRPr="00B30B92">
                    <w:rPr>
                      <w:sz w:val="16"/>
                      <w:szCs w:val="16"/>
                    </w:rPr>
                    <w:t xml:space="preserve"> folyamatos mennyiségi nyilvántartást vezet a GESZ, melyeket a GESZ Leltározási szabályzatában foglaltak szerint 2 évente mennyiségi felvétellel leltároznak. A 2015. évben a leltározást követően beszerzett eszközök év végéig nem kerültek leltározásra, így az év végi mérleg tételeinek leltárral történő alátámasztásáról nem tudtunk teljes körűen meggyőződni. A GESZ Leltározási szabályzat mellékletei nem egyeztek meg a használatban lévő formanyomtatványokkal, pár esetben pontatlanul, hiányosan kerültek kitöltésre, aláírásra. A leltározási ütemtervet nem az arra jogosult állította össze, nem tartalmazta valamennyi, a leltározásban részt vevő nevét. A leltározásban részt vevők oktatásban nem részesültek, arról így jegyzőkönyv nem készült. A leltározási bizonylatok átvételi elismervény nélkül kerültek átadásra a leltározásban résztvevőknek. A szabályzattól eltérően a leltárfelvételi ívek alapján leltárösszesítők nem készültek. A leltárkiértékelés eltérést nem mutatott ki, azonban aláírást és dátumot nem tartalmazott. A leltározási ütemterv nem tartalmazta a leltárkiértékeléséért felelős személyt és a leltárt ellenőrző személy kijelölését, a leltározás ellenőrzése nem történt meg.</w:t>
                  </w:r>
                </w:p>
                <w:p w:rsidR="00B30B92" w:rsidRPr="00B30B92" w:rsidRDefault="00B30B92" w:rsidP="00B30B9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 xml:space="preserve">A </w:t>
                  </w:r>
                  <w:r w:rsidRPr="00B30B92">
                    <w:rPr>
                      <w:i/>
                      <w:sz w:val="16"/>
                      <w:szCs w:val="16"/>
                    </w:rPr>
                    <w:t>többi mérlegtételre</w:t>
                  </w:r>
                  <w:r w:rsidRPr="00B30B92">
                    <w:rPr>
                      <w:sz w:val="16"/>
                      <w:szCs w:val="16"/>
                    </w:rPr>
                    <w:t xml:space="preserve"> a 2015. évi mérleg fordulónapra vonatkozóan írásos egyeztetést nem végeztek.</w:t>
                  </w:r>
                </w:p>
                <w:p w:rsidR="00B30B92" w:rsidRPr="00B30B92" w:rsidRDefault="00B30B92" w:rsidP="00B30B9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 xml:space="preserve">Mindhárom intézmény esetében a </w:t>
                  </w:r>
                  <w:r w:rsidRPr="00B30B92">
                    <w:rPr>
                      <w:sz w:val="16"/>
                      <w:szCs w:val="16"/>
                      <w:u w:val="single"/>
                    </w:rPr>
                    <w:t>kis értékű eszközök</w:t>
                  </w:r>
                  <w:r w:rsidRPr="00B30B92">
                    <w:rPr>
                      <w:sz w:val="16"/>
                      <w:szCs w:val="16"/>
                    </w:rPr>
                    <w:t xml:space="preserve"> a leltárfelvételi íveken eszközféleségenként kerültek felvezetésre. Az átadott dokumentáció leltárkiértékelést egyik óvoda esetében sem tartalmazott.</w:t>
                  </w:r>
                </w:p>
                <w:p w:rsidR="00B30B92" w:rsidRPr="00B30B92" w:rsidRDefault="00B30B92" w:rsidP="00B30B9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Az intézményeknél a leltárfelvételi íveken a leltár fordulónapja helytelenül került kitöltésre.</w:t>
                  </w:r>
                </w:p>
                <w:p w:rsidR="00B30B92" w:rsidRPr="00B30B92" w:rsidRDefault="00B30B92" w:rsidP="00B30B9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B30B92">
                    <w:rPr>
                      <w:sz w:val="16"/>
                      <w:szCs w:val="16"/>
                    </w:rPr>
                    <w:t>A 2016. évi mérleget leltárral nem támasztották alá.</w:t>
                  </w:r>
                </w:p>
                <w:p w:rsidR="000B0203" w:rsidRDefault="000B0203" w:rsidP="000B108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B30B92" w:rsidRDefault="00B30B92" w:rsidP="000B108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B30B92" w:rsidRDefault="00B30B92" w:rsidP="000B108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B30B92" w:rsidRPr="005A06B3" w:rsidRDefault="00B30B92" w:rsidP="000B108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0B92" w:rsidRPr="00B30B92" w:rsidRDefault="00B30B92" w:rsidP="00B30B9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B30B92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lastRenderedPageBreak/>
                    <w:t>Javaslatok a Kaposvári Rét Utcai Központi Óvoda részére</w:t>
                  </w:r>
                </w:p>
                <w:p w:rsidR="00B30B92" w:rsidRPr="00B30B92" w:rsidRDefault="00B30B92" w:rsidP="00B30B9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B30B92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B30B92" w:rsidRPr="00B30B92" w:rsidRDefault="00B30B92" w:rsidP="00B30B92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szabályzatának megfelelően a selejtezési eljárást legalább 30 nappal hajtsák végre a leltározás előtt.</w:t>
                  </w:r>
                </w:p>
                <w:p w:rsidR="00B30B92" w:rsidRPr="00B30B92" w:rsidRDefault="00B30B92" w:rsidP="00B30B92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>Minden esetben gondoskodjanak a leselejtezett eszközök megsemmisítéséről.</w:t>
                  </w:r>
                </w:p>
                <w:p w:rsidR="00B30B92" w:rsidRDefault="00B30B92" w:rsidP="00B30B9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  <w:p w:rsidR="00B30B92" w:rsidRDefault="00B30B92" w:rsidP="00B30B9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  <w:p w:rsidR="00B30B92" w:rsidRDefault="00B30B92" w:rsidP="00B30B9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  <w:p w:rsidR="00B30B92" w:rsidRPr="00B30B92" w:rsidRDefault="00B30B92" w:rsidP="00B30B9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B30B92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lastRenderedPageBreak/>
                    <w:t>Átlagos jelentőségű javaslatok:</w:t>
                  </w:r>
                </w:p>
                <w:p w:rsidR="00B30B92" w:rsidRPr="00B30B92" w:rsidRDefault="00B30B92" w:rsidP="00B30B92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>A megbízott hitelesítők, bizottsági tagok aláírása szerepeljen minden dokumentumon, ahol az előírás.</w:t>
                  </w:r>
                </w:p>
                <w:p w:rsidR="00B30B92" w:rsidRPr="00B30B92" w:rsidRDefault="00B30B92" w:rsidP="00B30B92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bizottság tagjai részére készítsenek megbízólevelet.</w:t>
                  </w:r>
                </w:p>
                <w:p w:rsidR="00B30B92" w:rsidRPr="00B30B92" w:rsidRDefault="00B30B92" w:rsidP="00B30B92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jegyzőkönyvben szerepeljen a selejtezési bizottság javaslata.</w:t>
                  </w:r>
                </w:p>
                <w:p w:rsidR="00B30B92" w:rsidRPr="00B30B92" w:rsidRDefault="00B30B92" w:rsidP="00B30B92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javaslatokat a GESZ Selejtezési szabályzat 1. sz. mellékletének megfelelően a „Selejtezési jegyzék”</w:t>
                  </w:r>
                  <w:proofErr w:type="spellStart"/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>-en</w:t>
                  </w:r>
                  <w:proofErr w:type="spellEnd"/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rögzítsék.</w:t>
                  </w:r>
                </w:p>
                <w:p w:rsidR="00B30B92" w:rsidRPr="00B30B92" w:rsidRDefault="00B30B92" w:rsidP="00B30B92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>A szakértői vélemények minden esetben kerüljenek csatolásra a „</w:t>
                  </w:r>
                  <w:proofErr w:type="spellStart"/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selejtezésének javaslatához.</w:t>
                  </w:r>
                </w:p>
                <w:p w:rsidR="00B30B92" w:rsidRPr="00B30B92" w:rsidRDefault="00B30B92" w:rsidP="00B30B92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„Immateriális javak, tárgyi eszközök selejtezési jegyzőkönyve” és mellékletei kerüljenek teljes körűen kitöltésre és valamennyi bizottsági tag által hitelesítésre, illetve tartalmazzák az engedélyező aláírását is.</w:t>
                  </w:r>
                </w:p>
                <w:p w:rsidR="00B30B92" w:rsidRPr="00B30B92" w:rsidRDefault="00B30B92" w:rsidP="00B30B92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„Megsemmisítési jegyzőkönyv” minden esetben kerüljön teljes körűen kitörlésre és aláírásra.</w:t>
                  </w:r>
                </w:p>
                <w:p w:rsidR="00B30B92" w:rsidRPr="00B30B92" w:rsidRDefault="00B30B92" w:rsidP="00B30B92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utasításokat és a megbízóleveleket az arra jogosult írja alá.</w:t>
                  </w:r>
                </w:p>
                <w:p w:rsidR="00B30B92" w:rsidRPr="00B30B92" w:rsidRDefault="00B30B92" w:rsidP="00B30B92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leltározáskor használt nyomtatványok formailag egyezzenek meg a GESZ Leltározási szabályzat mellékleteinek formátumával (pl.: leltározási utasítás).</w:t>
                  </w:r>
                </w:p>
                <w:p w:rsidR="00B30B92" w:rsidRPr="00B30B92" w:rsidRDefault="00B30B92" w:rsidP="00B30B92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szabályzatának megfelelően a leltárfelvételi ívek alapján készítsenek leltárösszesítőt.</w:t>
                  </w:r>
                </w:p>
                <w:p w:rsidR="00B30B92" w:rsidRPr="00B30B92" w:rsidRDefault="00B30B92" w:rsidP="00B30B92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B30B92">
                    <w:rPr>
                      <w:rFonts w:eastAsia="Calibri"/>
                      <w:sz w:val="16"/>
                      <w:szCs w:val="16"/>
                      <w:lang w:eastAsia="en-US"/>
                    </w:rPr>
                    <w:t>A kis értékű tárgyi eszközök leltározásakor leltárkiértékelést is készítsenek.</w:t>
                  </w:r>
                </w:p>
                <w:p w:rsidR="000B0203" w:rsidRPr="00475BD1" w:rsidRDefault="000B0203" w:rsidP="00475BD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3B3E5B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lastRenderedPageBreak/>
                    <w:t>Irányító szervként végzett ellenőrzések:</w:t>
                  </w:r>
                </w:p>
              </w:tc>
            </w:tr>
            <w:tr w:rsidR="000B0203" w:rsidRPr="0044525D" w:rsidTr="00BA1F11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Pr="00273003" w:rsidRDefault="000B020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</w:t>
                  </w:r>
                  <w:r w:rsidR="00475BD1">
                    <w:rPr>
                      <w:rFonts w:eastAsia="Calibri"/>
                      <w:sz w:val="20"/>
                      <w:szCs w:val="20"/>
                      <w:lang w:eastAsia="en-US"/>
                    </w:rPr>
                    <w:t>6</w:t>
                  </w: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0203" w:rsidRPr="007A557E" w:rsidRDefault="000B0203" w:rsidP="007A557E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pénzmaradvánnyal szemben beállított kötelezettségeket alátámasztották.  </w:t>
                  </w:r>
                </w:p>
                <w:p w:rsidR="007A557E" w:rsidRPr="007A557E" w:rsidRDefault="007A557E" w:rsidP="007A557E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kötelezettségvállalás és pénzügyi ellenjegyzés során nem minden esetben tartották be az Áht. és az </w:t>
                  </w:r>
                  <w:proofErr w:type="spellStart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>. erre vonatkozó előírásait.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A557E" w:rsidRPr="007A557E" w:rsidRDefault="007A557E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javaslat:</w:t>
                  </w:r>
                </w:p>
                <w:p w:rsidR="007A557E" w:rsidRPr="007A557E" w:rsidRDefault="007A557E" w:rsidP="007A557E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gazdálkodási jogkörök gyakorlása – különösen a kötelezettségvállalás és a pénzügyi ellenjegyzés – során tartsák be az Áht. 36-38. § és az </w:t>
                  </w:r>
                  <w:proofErr w:type="spellStart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45-60. § előírásait. </w:t>
                  </w:r>
                </w:p>
                <w:p w:rsidR="007A557E" w:rsidRPr="007A557E" w:rsidRDefault="007A557E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javaslat:</w:t>
                  </w:r>
                </w:p>
                <w:p w:rsidR="007A557E" w:rsidRPr="007A557E" w:rsidRDefault="007A557E" w:rsidP="007A557E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szabad pénzmaradvány terhére visszapótolt előirányzatokat használják fel 2017. augusztus 31-ig. A felhasználást alátámasztó kimutatást juttassák el az Ellenőrzési Irodának a nyomon követés érdekében. </w:t>
                  </w:r>
                </w:p>
                <w:p w:rsidR="000B0203" w:rsidRPr="007A557E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5B0B73" w:rsidRPr="00BA1F11" w:rsidRDefault="005B0B73" w:rsidP="00300A08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A557E" w:rsidRPr="00F67268" w:rsidTr="007A557E">
        <w:tc>
          <w:tcPr>
            <w:tcW w:w="1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7A557E" w:rsidRPr="00F67268" w:rsidRDefault="007A557E" w:rsidP="007A557E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7A557E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7A557E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</w:t>
            </w:r>
            <w:r>
              <w:rPr>
                <w:rFonts w:eastAsia="Calibri"/>
                <w:lang w:eastAsia="en-US"/>
              </w:rPr>
              <w:lastRenderedPageBreak/>
              <w:t xml:space="preserve">feldolgozásra kerüljön benne, amely alapvetően szükséges az irányítás és ellenőrizhetőség szempontjából. </w:t>
            </w:r>
          </w:p>
          <w:p w:rsidR="007A557E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Monitoringrendszer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</w:tc>
      </w:tr>
      <w:tr w:rsidR="005B0B73" w:rsidRPr="00F67268" w:rsidTr="00B30B92">
        <w:trPr>
          <w:trHeight w:val="154"/>
        </w:trPr>
        <w:tc>
          <w:tcPr>
            <w:tcW w:w="5000" w:type="pct"/>
            <w:gridSpan w:val="10"/>
            <w:shd w:val="clear" w:color="auto" w:fill="D9D9D9"/>
          </w:tcPr>
          <w:p w:rsidR="006D3051" w:rsidRPr="00B30B92" w:rsidRDefault="006D3051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B0B73" w:rsidRPr="00F67268" w:rsidTr="007A557E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44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Pr="00813B1A" w:rsidRDefault="00A24828" w:rsidP="004B708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0B20">
              <w:rPr>
                <w:rFonts w:eastAsia="Calibri"/>
                <w:lang w:eastAsia="en-US"/>
              </w:rPr>
              <w:t>„</w:t>
            </w:r>
            <w:r w:rsidRPr="00070B20">
              <w:rPr>
                <w:rFonts w:eastAsia="Calibri"/>
                <w:b/>
                <w:lang w:eastAsia="en-US"/>
              </w:rPr>
              <w:t>A</w:t>
            </w:r>
            <w:r w:rsidR="007A557E">
              <w:rPr>
                <w:rFonts w:eastAsia="Calibri"/>
                <w:b/>
                <w:lang w:eastAsia="en-US"/>
              </w:rPr>
              <w:t>z állami támogatások elszámolása</w:t>
            </w:r>
            <w:r w:rsidR="007A557E">
              <w:rPr>
                <w:rFonts w:eastAsia="Calibri"/>
                <w:lang w:eastAsia="en-US"/>
              </w:rPr>
              <w:t>” tárgyú 2017</w:t>
            </w:r>
            <w:r w:rsidRPr="00070B20">
              <w:rPr>
                <w:rFonts w:eastAsia="Calibri"/>
                <w:lang w:eastAsia="en-US"/>
              </w:rPr>
              <w:t>. évi ellenőrzési jelentésre</w:t>
            </w:r>
            <w:r w:rsidR="007A557E">
              <w:rPr>
                <w:rFonts w:eastAsia="Calibri"/>
                <w:lang w:eastAsia="en-US"/>
              </w:rPr>
              <w:t xml:space="preserve"> </w:t>
            </w:r>
            <w:r w:rsidRPr="00173398">
              <w:rPr>
                <w:rFonts w:eastAsia="Calibri"/>
                <w:lang w:eastAsia="en-US"/>
              </w:rPr>
              <w:t>az Óvodának nem kellett intézkedési tervet készítenie.</w:t>
            </w:r>
          </w:p>
          <w:p w:rsidR="00173398" w:rsidRPr="00813B1A" w:rsidRDefault="00173398" w:rsidP="00173398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73398">
              <w:rPr>
                <w:rFonts w:eastAsia="Calibri"/>
                <w:lang w:eastAsia="en-US"/>
              </w:rPr>
              <w:t>„</w:t>
            </w:r>
            <w:r w:rsidRPr="00173398">
              <w:rPr>
                <w:rFonts w:eastAsia="Calibri"/>
                <w:b/>
                <w:lang w:eastAsia="en-US"/>
              </w:rPr>
              <w:t>A</w:t>
            </w:r>
            <w:r w:rsidRPr="00173398">
              <w:rPr>
                <w:rFonts w:eastAsia="Calibri"/>
                <w:lang w:eastAsia="en-US"/>
              </w:rPr>
              <w:t xml:space="preserve"> </w:t>
            </w:r>
            <w:r w:rsidR="007A557E">
              <w:rPr>
                <w:rFonts w:eastAsia="Calibri"/>
                <w:b/>
                <w:lang w:eastAsia="en-US"/>
              </w:rPr>
              <w:t>selejtezési és leltározási tevékenység vizsgálata</w:t>
            </w:r>
            <w:r w:rsidR="007A557E">
              <w:rPr>
                <w:rFonts w:eastAsia="Calibri"/>
                <w:lang w:eastAsia="en-US"/>
              </w:rPr>
              <w:t>” tárgyú 2017</w:t>
            </w:r>
            <w:r w:rsidRPr="00173398">
              <w:rPr>
                <w:rFonts w:eastAsia="Calibri"/>
                <w:lang w:eastAsia="en-US"/>
              </w:rPr>
              <w:t>. évi ellenőrzési jelentésre készített intézkedé</w:t>
            </w:r>
            <w:r w:rsidR="007A557E">
              <w:rPr>
                <w:rFonts w:eastAsia="Calibri"/>
                <w:lang w:eastAsia="en-US"/>
              </w:rPr>
              <w:t>s</w:t>
            </w:r>
            <w:r w:rsidR="00B30B92">
              <w:rPr>
                <w:rFonts w:eastAsia="Calibri"/>
                <w:lang w:eastAsia="en-US"/>
              </w:rPr>
              <w:t>i terv az Óvodára vonatkozóan 13</w:t>
            </w:r>
            <w:r w:rsidRPr="00173398">
              <w:rPr>
                <w:rFonts w:eastAsia="Calibri"/>
                <w:lang w:eastAsia="en-US"/>
              </w:rPr>
              <w:t xml:space="preserve"> db intézkedést tartalmazott, mel</w:t>
            </w:r>
            <w:r w:rsidR="007A557E">
              <w:rPr>
                <w:rFonts w:eastAsia="Calibri"/>
                <w:lang w:eastAsia="en-US"/>
              </w:rPr>
              <w:t>yek végrehajtási határideje 2017</w:t>
            </w:r>
            <w:r w:rsidRPr="00173398">
              <w:rPr>
                <w:rFonts w:eastAsia="Calibri"/>
                <w:lang w:eastAsia="en-US"/>
              </w:rPr>
              <w:t>-b</w:t>
            </w:r>
            <w:r w:rsidR="007A557E">
              <w:rPr>
                <w:rFonts w:eastAsia="Calibri"/>
                <w:lang w:eastAsia="en-US"/>
              </w:rPr>
              <w:t>e</w:t>
            </w:r>
            <w:r w:rsidRPr="00173398">
              <w:rPr>
                <w:rFonts w:eastAsia="Calibri"/>
                <w:lang w:eastAsia="en-US"/>
              </w:rPr>
              <w:t>n volt esedékes. Az intézkedési tervben foglaltak végrehajtásáról szóló beszámol</w:t>
            </w:r>
            <w:r w:rsidR="007A557E">
              <w:rPr>
                <w:rFonts w:eastAsia="Calibri"/>
                <w:lang w:eastAsia="en-US"/>
              </w:rPr>
              <w:t>ó szerint az intézkedéseket 2017</w:t>
            </w:r>
            <w:r w:rsidRPr="00173398">
              <w:rPr>
                <w:rFonts w:eastAsia="Calibri"/>
                <w:lang w:eastAsia="en-US"/>
              </w:rPr>
              <w:t>. évben végre is hajtották.</w:t>
            </w:r>
          </w:p>
          <w:p w:rsidR="00173398" w:rsidRPr="00813B1A" w:rsidRDefault="00173398" w:rsidP="00173398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51A50" w:rsidRPr="00956648" w:rsidRDefault="00173398" w:rsidP="00813B1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73398">
              <w:rPr>
                <w:rFonts w:eastAsia="Calibri"/>
                <w:lang w:eastAsia="en-US"/>
              </w:rPr>
              <w:t>„</w:t>
            </w:r>
            <w:r w:rsidR="007A557E">
              <w:rPr>
                <w:rFonts w:eastAsia="Calibri"/>
                <w:b/>
                <w:lang w:eastAsia="en-US"/>
              </w:rPr>
              <w:t>A 2016</w:t>
            </w:r>
            <w:r w:rsidRPr="00173398">
              <w:rPr>
                <w:rFonts w:eastAsia="Calibri"/>
                <w:b/>
                <w:lang w:eastAsia="en-US"/>
              </w:rPr>
              <w:t>. évi pénzmaradvány vizsgálata</w:t>
            </w:r>
            <w:r w:rsidRPr="00173398">
              <w:rPr>
                <w:rFonts w:eastAsia="Calibri"/>
                <w:lang w:eastAsia="en-US"/>
              </w:rPr>
              <w:t xml:space="preserve">” tárgyú </w:t>
            </w:r>
            <w:r w:rsidR="00A6583E">
              <w:rPr>
                <w:rFonts w:eastAsia="Calibri"/>
                <w:lang w:eastAsia="en-US"/>
              </w:rPr>
              <w:t>2017</w:t>
            </w:r>
            <w:r w:rsidR="00A6583E" w:rsidRPr="00173398">
              <w:rPr>
                <w:rFonts w:eastAsia="Calibri"/>
                <w:lang w:eastAsia="en-US"/>
              </w:rPr>
              <w:t>. évi ellenőrzési jelentésre készített intézkedé</w:t>
            </w:r>
            <w:r w:rsidR="00A6583E">
              <w:rPr>
                <w:rFonts w:eastAsia="Calibri"/>
                <w:lang w:eastAsia="en-US"/>
              </w:rPr>
              <w:t xml:space="preserve">si terv az Óvodára </w:t>
            </w:r>
            <w:r w:rsidR="00813B1A">
              <w:rPr>
                <w:rFonts w:eastAsia="Calibri"/>
                <w:lang w:eastAsia="en-US"/>
              </w:rPr>
              <w:t>vonatkozóan 2</w:t>
            </w:r>
            <w:r w:rsidR="00A6583E" w:rsidRPr="00173398">
              <w:rPr>
                <w:rFonts w:eastAsia="Calibri"/>
                <w:lang w:eastAsia="en-US"/>
              </w:rPr>
              <w:t xml:space="preserve"> db intézkedést tartalmazott, mel</w:t>
            </w:r>
            <w:r w:rsidR="00A6583E">
              <w:rPr>
                <w:rFonts w:eastAsia="Calibri"/>
                <w:lang w:eastAsia="en-US"/>
              </w:rPr>
              <w:t>yek végrehajtási határideje 2017</w:t>
            </w:r>
            <w:r w:rsidR="00A6583E" w:rsidRPr="00173398">
              <w:rPr>
                <w:rFonts w:eastAsia="Calibri"/>
                <w:lang w:eastAsia="en-US"/>
              </w:rPr>
              <w:t>-b</w:t>
            </w:r>
            <w:r w:rsidR="00A6583E">
              <w:rPr>
                <w:rFonts w:eastAsia="Calibri"/>
                <w:lang w:eastAsia="en-US"/>
              </w:rPr>
              <w:t>e</w:t>
            </w:r>
            <w:r w:rsidR="00A6583E" w:rsidRPr="00173398">
              <w:rPr>
                <w:rFonts w:eastAsia="Calibri"/>
                <w:lang w:eastAsia="en-US"/>
              </w:rPr>
              <w:t>n</w:t>
            </w:r>
            <w:r w:rsidR="00813B1A">
              <w:rPr>
                <w:rFonts w:eastAsia="Calibri"/>
                <w:lang w:eastAsia="en-US"/>
              </w:rPr>
              <w:t xml:space="preserve"> </w:t>
            </w:r>
            <w:r w:rsidR="00A6583E" w:rsidRPr="00173398">
              <w:rPr>
                <w:rFonts w:eastAsia="Calibri"/>
                <w:lang w:eastAsia="en-US"/>
              </w:rPr>
              <w:t>volt esedékes. Az intézkedési tervben foglaltak végrehajtásáról szóló beszámol</w:t>
            </w:r>
            <w:r w:rsidR="00A6583E">
              <w:rPr>
                <w:rFonts w:eastAsia="Calibri"/>
                <w:lang w:eastAsia="en-US"/>
              </w:rPr>
              <w:t>ó szerint az intézkedéseket</w:t>
            </w:r>
            <w:r w:rsidR="00813B1A">
              <w:rPr>
                <w:rFonts w:eastAsia="Calibri"/>
                <w:lang w:eastAsia="en-US"/>
              </w:rPr>
              <w:t xml:space="preserve"> 2017-ben</w:t>
            </w:r>
            <w:r w:rsidR="00A6583E">
              <w:rPr>
                <w:rFonts w:eastAsia="Calibri"/>
                <w:lang w:eastAsia="en-US"/>
              </w:rPr>
              <w:t xml:space="preserve"> </w:t>
            </w:r>
            <w:r w:rsidR="00A6583E" w:rsidRPr="00173398">
              <w:rPr>
                <w:rFonts w:eastAsia="Calibri"/>
                <w:lang w:eastAsia="en-US"/>
              </w:rPr>
              <w:t>végre is hajtották.</w:t>
            </w:r>
          </w:p>
        </w:tc>
      </w:tr>
    </w:tbl>
    <w:p w:rsidR="00BA2F67" w:rsidRPr="000F11B0" w:rsidRDefault="00BA2F67" w:rsidP="00BA2F67">
      <w:r w:rsidRPr="000F11B0">
        <w:t>Kaposvár, 201</w:t>
      </w:r>
      <w:r w:rsidR="000D3BA6">
        <w:t>8</w:t>
      </w:r>
      <w:r w:rsidRPr="000F11B0">
        <w:t xml:space="preserve">. </w:t>
      </w:r>
      <w:r w:rsidR="000D3BA6">
        <w:t>február 12</w:t>
      </w:r>
      <w:r w:rsidRPr="000F11B0">
        <w:t>.</w:t>
      </w:r>
    </w:p>
    <w:p w:rsidR="00BA2F67" w:rsidRDefault="00BA2F67" w:rsidP="00BA2F67"/>
    <w:p w:rsidR="00BA2F67" w:rsidRPr="000F11B0" w:rsidRDefault="00BA2F67" w:rsidP="00BA2F67"/>
    <w:p w:rsidR="00BA2F67" w:rsidRDefault="00BA2F67" w:rsidP="00BA2F67">
      <w:pPr>
        <w:tabs>
          <w:tab w:val="center" w:pos="7938"/>
        </w:tabs>
      </w:pPr>
      <w:r w:rsidRPr="000F11B0">
        <w:t xml:space="preserve">Készítette: </w:t>
      </w:r>
      <w:r>
        <w:t>Kiss Brigitta</w:t>
      </w:r>
      <w:r>
        <w:tab/>
        <w:t xml:space="preserve">Jóváhagyta: </w:t>
      </w:r>
      <w:r w:rsidR="00CB5F93">
        <w:t>Rónai Ágota</w:t>
      </w:r>
      <w:bookmarkStart w:id="0" w:name="_GoBack"/>
      <w:bookmarkEnd w:id="0"/>
    </w:p>
    <w:p w:rsidR="00F67268" w:rsidRPr="000F11B0" w:rsidRDefault="00BA2F67" w:rsidP="00813B1A">
      <w:pPr>
        <w:tabs>
          <w:tab w:val="center" w:pos="7938"/>
        </w:tabs>
      </w:pPr>
      <w:r>
        <w:t xml:space="preserve">          </w:t>
      </w:r>
      <w:proofErr w:type="gramStart"/>
      <w:r w:rsidRPr="000F11B0">
        <w:t>belső</w:t>
      </w:r>
      <w:proofErr w:type="gramEnd"/>
      <w:r w:rsidRPr="000F11B0">
        <w:t xml:space="preserve"> ellenőrzési vezető</w:t>
      </w:r>
      <w:r>
        <w:t xml:space="preserve">                                                                                    óvodavezető</w:t>
      </w:r>
    </w:p>
    <w:sectPr w:rsidR="00F67268" w:rsidRPr="000F11B0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B5" w:rsidRDefault="005B2FB5" w:rsidP="00F410F1">
      <w:r>
        <w:separator/>
      </w:r>
    </w:p>
  </w:endnote>
  <w:endnote w:type="continuationSeparator" w:id="0">
    <w:p w:rsidR="005B2FB5" w:rsidRDefault="005B2FB5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B5" w:rsidRDefault="005B2FB5" w:rsidP="00F410F1">
      <w:r>
        <w:separator/>
      </w:r>
    </w:p>
  </w:footnote>
  <w:footnote w:type="continuationSeparator" w:id="0">
    <w:p w:rsidR="005B2FB5" w:rsidRDefault="005B2FB5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9D2A93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10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26596"/>
    <w:rsid w:val="00060AEE"/>
    <w:rsid w:val="000627C0"/>
    <w:rsid w:val="00070B20"/>
    <w:rsid w:val="0007309E"/>
    <w:rsid w:val="000746AA"/>
    <w:rsid w:val="00097EF6"/>
    <w:rsid w:val="000A048E"/>
    <w:rsid w:val="000A5656"/>
    <w:rsid w:val="000B0203"/>
    <w:rsid w:val="000B108B"/>
    <w:rsid w:val="000D3BA6"/>
    <w:rsid w:val="000F11B0"/>
    <w:rsid w:val="001006A2"/>
    <w:rsid w:val="001062CE"/>
    <w:rsid w:val="00137EEC"/>
    <w:rsid w:val="00146B2A"/>
    <w:rsid w:val="00172774"/>
    <w:rsid w:val="00173398"/>
    <w:rsid w:val="00175EE5"/>
    <w:rsid w:val="00182052"/>
    <w:rsid w:val="001A07D1"/>
    <w:rsid w:val="001A39E4"/>
    <w:rsid w:val="001C4270"/>
    <w:rsid w:val="001C589F"/>
    <w:rsid w:val="001D0EEF"/>
    <w:rsid w:val="001D68C8"/>
    <w:rsid w:val="001F03EC"/>
    <w:rsid w:val="001F365F"/>
    <w:rsid w:val="00207A23"/>
    <w:rsid w:val="00215395"/>
    <w:rsid w:val="00273003"/>
    <w:rsid w:val="00277B9B"/>
    <w:rsid w:val="002928F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7AAB"/>
    <w:rsid w:val="003470AE"/>
    <w:rsid w:val="00351A84"/>
    <w:rsid w:val="00366C9C"/>
    <w:rsid w:val="00393D64"/>
    <w:rsid w:val="003A3A86"/>
    <w:rsid w:val="003A41C1"/>
    <w:rsid w:val="003B0250"/>
    <w:rsid w:val="003B3E5B"/>
    <w:rsid w:val="003B6F33"/>
    <w:rsid w:val="003B75B7"/>
    <w:rsid w:val="003D3A7E"/>
    <w:rsid w:val="003E1C31"/>
    <w:rsid w:val="003E4229"/>
    <w:rsid w:val="00440385"/>
    <w:rsid w:val="0044487A"/>
    <w:rsid w:val="00445DDB"/>
    <w:rsid w:val="00447722"/>
    <w:rsid w:val="00454CDB"/>
    <w:rsid w:val="00467EBD"/>
    <w:rsid w:val="00475BD1"/>
    <w:rsid w:val="004B708C"/>
    <w:rsid w:val="004D516A"/>
    <w:rsid w:val="00512443"/>
    <w:rsid w:val="0053057C"/>
    <w:rsid w:val="00537D1F"/>
    <w:rsid w:val="0054229F"/>
    <w:rsid w:val="005470C6"/>
    <w:rsid w:val="00566911"/>
    <w:rsid w:val="005822B2"/>
    <w:rsid w:val="00591C10"/>
    <w:rsid w:val="00594D68"/>
    <w:rsid w:val="005A06B3"/>
    <w:rsid w:val="005B0B73"/>
    <w:rsid w:val="005B2FB5"/>
    <w:rsid w:val="005B7068"/>
    <w:rsid w:val="005C2308"/>
    <w:rsid w:val="005C4591"/>
    <w:rsid w:val="005C59B0"/>
    <w:rsid w:val="005D1FE4"/>
    <w:rsid w:val="005D2EFF"/>
    <w:rsid w:val="005D55D5"/>
    <w:rsid w:val="005F4730"/>
    <w:rsid w:val="00601EE9"/>
    <w:rsid w:val="00602D86"/>
    <w:rsid w:val="00652E87"/>
    <w:rsid w:val="00656C58"/>
    <w:rsid w:val="006613B4"/>
    <w:rsid w:val="00671C8D"/>
    <w:rsid w:val="00675621"/>
    <w:rsid w:val="006A0B4C"/>
    <w:rsid w:val="006A1F8C"/>
    <w:rsid w:val="006A30A8"/>
    <w:rsid w:val="006B128C"/>
    <w:rsid w:val="006D3051"/>
    <w:rsid w:val="00717592"/>
    <w:rsid w:val="007427E8"/>
    <w:rsid w:val="00747307"/>
    <w:rsid w:val="00751A50"/>
    <w:rsid w:val="00754A0E"/>
    <w:rsid w:val="007A068D"/>
    <w:rsid w:val="007A2213"/>
    <w:rsid w:val="007A557E"/>
    <w:rsid w:val="007C3169"/>
    <w:rsid w:val="007C7277"/>
    <w:rsid w:val="007D599A"/>
    <w:rsid w:val="007E6C6E"/>
    <w:rsid w:val="007F0BD3"/>
    <w:rsid w:val="00802622"/>
    <w:rsid w:val="00813B1A"/>
    <w:rsid w:val="00822F39"/>
    <w:rsid w:val="00853F6E"/>
    <w:rsid w:val="0085796B"/>
    <w:rsid w:val="008607FC"/>
    <w:rsid w:val="00864BA0"/>
    <w:rsid w:val="008A1159"/>
    <w:rsid w:val="008A591E"/>
    <w:rsid w:val="008B0F2E"/>
    <w:rsid w:val="008D691C"/>
    <w:rsid w:val="008E4989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2A93"/>
    <w:rsid w:val="009D56FE"/>
    <w:rsid w:val="009D77F5"/>
    <w:rsid w:val="00A10EF5"/>
    <w:rsid w:val="00A12EB8"/>
    <w:rsid w:val="00A1352C"/>
    <w:rsid w:val="00A2066F"/>
    <w:rsid w:val="00A24828"/>
    <w:rsid w:val="00A3181A"/>
    <w:rsid w:val="00A3678A"/>
    <w:rsid w:val="00A511DC"/>
    <w:rsid w:val="00A54E1B"/>
    <w:rsid w:val="00A567A3"/>
    <w:rsid w:val="00A57810"/>
    <w:rsid w:val="00A57926"/>
    <w:rsid w:val="00A6583E"/>
    <w:rsid w:val="00A74800"/>
    <w:rsid w:val="00A9147D"/>
    <w:rsid w:val="00A97F19"/>
    <w:rsid w:val="00AC3264"/>
    <w:rsid w:val="00AC6F83"/>
    <w:rsid w:val="00B0591C"/>
    <w:rsid w:val="00B11FE2"/>
    <w:rsid w:val="00B223A8"/>
    <w:rsid w:val="00B30B92"/>
    <w:rsid w:val="00B64D14"/>
    <w:rsid w:val="00B907B3"/>
    <w:rsid w:val="00B912E2"/>
    <w:rsid w:val="00BA1F11"/>
    <w:rsid w:val="00BA2F67"/>
    <w:rsid w:val="00BC4E37"/>
    <w:rsid w:val="00BC62DC"/>
    <w:rsid w:val="00BE420A"/>
    <w:rsid w:val="00BE4DB0"/>
    <w:rsid w:val="00C03861"/>
    <w:rsid w:val="00C11520"/>
    <w:rsid w:val="00C142B0"/>
    <w:rsid w:val="00C63CAD"/>
    <w:rsid w:val="00C92E3D"/>
    <w:rsid w:val="00CB5F93"/>
    <w:rsid w:val="00CD4BC0"/>
    <w:rsid w:val="00D02D25"/>
    <w:rsid w:val="00D22010"/>
    <w:rsid w:val="00D23BAB"/>
    <w:rsid w:val="00D661C2"/>
    <w:rsid w:val="00D72AE2"/>
    <w:rsid w:val="00D7715D"/>
    <w:rsid w:val="00D81F46"/>
    <w:rsid w:val="00D86806"/>
    <w:rsid w:val="00D96883"/>
    <w:rsid w:val="00DB6555"/>
    <w:rsid w:val="00DC0AA4"/>
    <w:rsid w:val="00DC2AC6"/>
    <w:rsid w:val="00DC626F"/>
    <w:rsid w:val="00DF086B"/>
    <w:rsid w:val="00E33ED3"/>
    <w:rsid w:val="00E464F2"/>
    <w:rsid w:val="00E87B09"/>
    <w:rsid w:val="00ED267F"/>
    <w:rsid w:val="00EF5A6D"/>
    <w:rsid w:val="00F236E7"/>
    <w:rsid w:val="00F2459A"/>
    <w:rsid w:val="00F40D53"/>
    <w:rsid w:val="00F410F1"/>
    <w:rsid w:val="00F4743B"/>
    <w:rsid w:val="00F67268"/>
    <w:rsid w:val="00F679E8"/>
    <w:rsid w:val="00F872A9"/>
    <w:rsid w:val="00F90686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0671-5E65-4027-9DCE-33C7C898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2102</Words>
  <Characters>14508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5</cp:revision>
  <cp:lastPrinted>2017-03-07T09:49:00Z</cp:lastPrinted>
  <dcterms:created xsi:type="dcterms:W3CDTF">2018-03-07T07:58:00Z</dcterms:created>
  <dcterms:modified xsi:type="dcterms:W3CDTF">2018-03-07T08:38:00Z</dcterms:modified>
</cp:coreProperties>
</file>