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D8" w:rsidRDefault="00930ED8" w:rsidP="0031044D"/>
    <w:p w:rsidR="00345AE6" w:rsidRDefault="00345AE6" w:rsidP="00345AE6">
      <w:pPr>
        <w:tabs>
          <w:tab w:val="left" w:pos="426"/>
          <w:tab w:val="num" w:pos="851"/>
        </w:tabs>
        <w:spacing w:line="276" w:lineRule="auto"/>
        <w:jc w:val="both"/>
      </w:pPr>
    </w:p>
    <w:p w:rsidR="00345AE6" w:rsidRDefault="00345AE6" w:rsidP="00345AE6">
      <w:pPr>
        <w:rPr>
          <w:b/>
        </w:rPr>
      </w:pPr>
      <w:r>
        <w:rPr>
          <w:b/>
        </w:rPr>
        <w:t>KAPOSVÁR MEGYEI JOGÚ VÁROS</w:t>
      </w:r>
    </w:p>
    <w:p w:rsidR="00345AE6" w:rsidRDefault="00345AE6" w:rsidP="00345AE6">
      <w:pPr>
        <w:rPr>
          <w:b/>
        </w:rPr>
      </w:pPr>
      <w:r>
        <w:rPr>
          <w:b/>
        </w:rPr>
        <w:t>POLGÁRMESTERÉTŐL</w:t>
      </w:r>
    </w:p>
    <w:p w:rsidR="00345AE6" w:rsidRDefault="00345AE6" w:rsidP="00345AE6">
      <w:pPr>
        <w:jc w:val="right"/>
        <w:rPr>
          <w:b/>
        </w:rPr>
      </w:pPr>
      <w:r>
        <w:rPr>
          <w:b/>
        </w:rPr>
        <w:tab/>
        <w:t>1. változat</w:t>
      </w:r>
    </w:p>
    <w:p w:rsidR="00A14FE3" w:rsidRDefault="00A14FE3" w:rsidP="00345AE6">
      <w:pPr>
        <w:jc w:val="center"/>
        <w:rPr>
          <w:b/>
        </w:rPr>
      </w:pPr>
    </w:p>
    <w:p w:rsidR="00A14FE3" w:rsidRDefault="00A14FE3" w:rsidP="00345AE6">
      <w:pPr>
        <w:jc w:val="center"/>
        <w:rPr>
          <w:b/>
        </w:rPr>
      </w:pPr>
    </w:p>
    <w:p w:rsidR="00A14FE3" w:rsidRDefault="00A14FE3" w:rsidP="00345AE6">
      <w:pPr>
        <w:jc w:val="center"/>
        <w:rPr>
          <w:b/>
        </w:rPr>
      </w:pPr>
    </w:p>
    <w:p w:rsidR="00A14FE3" w:rsidRDefault="00A14FE3" w:rsidP="00345AE6">
      <w:pPr>
        <w:jc w:val="center"/>
        <w:rPr>
          <w:b/>
        </w:rPr>
      </w:pPr>
    </w:p>
    <w:p w:rsidR="00345AE6" w:rsidRDefault="00345AE6" w:rsidP="00345AE6">
      <w:pPr>
        <w:jc w:val="center"/>
        <w:rPr>
          <w:b/>
        </w:rPr>
      </w:pPr>
      <w:r>
        <w:rPr>
          <w:b/>
        </w:rPr>
        <w:t>ELŐTERJESZTÉS</w:t>
      </w:r>
    </w:p>
    <w:p w:rsidR="00154ADC" w:rsidRPr="00305221" w:rsidRDefault="00154ADC" w:rsidP="00154ADC">
      <w:pPr>
        <w:tabs>
          <w:tab w:val="left" w:pos="426"/>
          <w:tab w:val="num" w:pos="851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KAVÍZ </w:t>
      </w:r>
      <w:r w:rsidR="00D46B84">
        <w:rPr>
          <w:b/>
          <w:color w:val="000000"/>
          <w:sz w:val="22"/>
          <w:szCs w:val="22"/>
        </w:rPr>
        <w:t>Kft.</w:t>
      </w:r>
      <w:r w:rsidR="00CC4CA1">
        <w:rPr>
          <w:b/>
          <w:color w:val="000000"/>
          <w:sz w:val="22"/>
          <w:szCs w:val="22"/>
        </w:rPr>
        <w:t xml:space="preserve"> -vel kötendő</w:t>
      </w:r>
      <w:r w:rsidR="00D46B84">
        <w:rPr>
          <w:b/>
          <w:color w:val="000000"/>
          <w:sz w:val="22"/>
          <w:szCs w:val="22"/>
        </w:rPr>
        <w:t xml:space="preserve"> </w:t>
      </w:r>
      <w:r w:rsidR="00CC4CA1">
        <w:rPr>
          <w:b/>
          <w:color w:val="000000"/>
          <w:sz w:val="22"/>
          <w:szCs w:val="22"/>
        </w:rPr>
        <w:t>b</w:t>
      </w:r>
      <w:r>
        <w:rPr>
          <w:b/>
          <w:color w:val="000000"/>
          <w:sz w:val="22"/>
          <w:szCs w:val="22"/>
        </w:rPr>
        <w:t>érleti-üzemeltetési szerződésekről</w:t>
      </w:r>
    </w:p>
    <w:p w:rsidR="00345AE6" w:rsidRDefault="00345AE6" w:rsidP="00345AE6">
      <w:pPr>
        <w:tabs>
          <w:tab w:val="left" w:pos="426"/>
          <w:tab w:val="num" w:pos="851"/>
        </w:tabs>
        <w:spacing w:line="276" w:lineRule="auto"/>
        <w:jc w:val="both"/>
      </w:pPr>
    </w:p>
    <w:p w:rsidR="003039E9" w:rsidRDefault="00154ADC" w:rsidP="00154ADC">
      <w:pPr>
        <w:jc w:val="both"/>
      </w:pPr>
      <w:r>
        <w:t>2016. július 4-én hatályba lépett a víziközmű-szolgáltatásról szóló 2011. évi CCIX. törvény (Vksztv.) 5/H. § (1) és 83. § (3a) bekezdése, melyek értelmében, h</w:t>
      </w:r>
      <w:r w:rsidRPr="00DE4A4C">
        <w:t>a egy adott víziközmű-rendszeren több ellátásért felelős tulajdonnal rendelkezik</w:t>
      </w:r>
      <w:r>
        <w:t>, és több üzemeltetési jogviszony is</w:t>
      </w:r>
      <w:r w:rsidRPr="00DE4A4C">
        <w:t xml:space="preserve"> hatályban</w:t>
      </w:r>
      <w:r>
        <w:t xml:space="preserve"> van, </w:t>
      </w:r>
      <w:r w:rsidRPr="00DE4A4C">
        <w:t>a víz</w:t>
      </w:r>
      <w:r w:rsidR="00AD47FE">
        <w:t>i</w:t>
      </w:r>
      <w:r w:rsidRPr="00DE4A4C">
        <w:t>közmű-rendszer üzemeltetési jogviszonyának egy szerződésbe foglalását 2017. december 31. napjáig végre kell hajtani.</w:t>
      </w:r>
    </w:p>
    <w:p w:rsidR="00154ADC" w:rsidRDefault="00154ADC" w:rsidP="00154ADC">
      <w:pPr>
        <w:jc w:val="both"/>
      </w:pPr>
      <w:r>
        <w:t xml:space="preserve"> </w:t>
      </w:r>
    </w:p>
    <w:p w:rsidR="00154ADC" w:rsidRDefault="00154ADC" w:rsidP="00154ADC">
      <w:pPr>
        <w:jc w:val="both"/>
      </w:pPr>
      <w:r>
        <w:t>Kaposvár Megyei Jogú Város Önkormányzata három víziközmű-rendszerben ellátásért felelős:  „</w:t>
      </w:r>
      <w:r w:rsidRPr="004A24C2">
        <w:rPr>
          <w:b/>
        </w:rPr>
        <w:t>12. Kaposvár</w:t>
      </w:r>
      <w:r>
        <w:rPr>
          <w:b/>
        </w:rPr>
        <w:t xml:space="preserve"> – </w:t>
      </w:r>
      <w:r w:rsidRPr="004A24C2">
        <w:rPr>
          <w:b/>
        </w:rPr>
        <w:t>Juta</w:t>
      </w:r>
      <w:r>
        <w:rPr>
          <w:b/>
        </w:rPr>
        <w:t xml:space="preserve"> – </w:t>
      </w:r>
      <w:r w:rsidRPr="004A24C2">
        <w:rPr>
          <w:b/>
        </w:rPr>
        <w:t>Kaposhomok</w:t>
      </w:r>
      <w:r>
        <w:rPr>
          <w:b/>
        </w:rPr>
        <w:t xml:space="preserve"> </w:t>
      </w:r>
      <w:r w:rsidRPr="004A24C2">
        <w:rPr>
          <w:b/>
        </w:rPr>
        <w:t>-</w:t>
      </w:r>
      <w:r>
        <w:rPr>
          <w:b/>
        </w:rPr>
        <w:t xml:space="preserve"> </w:t>
      </w:r>
      <w:r w:rsidRPr="004A24C2">
        <w:rPr>
          <w:b/>
        </w:rPr>
        <w:t>Zselickislak ivóvíz</w:t>
      </w:r>
      <w:r>
        <w:t>”</w:t>
      </w:r>
      <w:r w:rsidRPr="00154ADC">
        <w:t xml:space="preserve"> </w:t>
      </w:r>
      <w:r w:rsidRPr="00FF1843">
        <w:t>víziközmű-rendszeren</w:t>
      </w:r>
      <w:r>
        <w:t>; a „</w:t>
      </w:r>
      <w:r>
        <w:rPr>
          <w:b/>
        </w:rPr>
        <w:t>28. Kaposvár szennyvíz</w:t>
      </w:r>
      <w:r>
        <w:t xml:space="preserve">” </w:t>
      </w:r>
      <w:r w:rsidRPr="00FF1843">
        <w:t>víziközmű-rendszeren</w:t>
      </w:r>
      <w:r>
        <w:t>, illetve a „</w:t>
      </w:r>
      <w:r>
        <w:rPr>
          <w:b/>
        </w:rPr>
        <w:t>40. Simonfa – Zselickislak – Zselicszentpál - Töröcske szennyvíz</w:t>
      </w:r>
      <w:r>
        <w:t xml:space="preserve">” </w:t>
      </w:r>
      <w:r w:rsidRPr="00FF1843">
        <w:t>víziközmű-rendszeren</w:t>
      </w:r>
      <w:r>
        <w:t xml:space="preserve">. </w:t>
      </w:r>
      <w:r w:rsidR="00355C22">
        <w:t xml:space="preserve">Kaposvár a három rendszert eddig egy szerződés keretében adta üzemeltetésbe. A társtulajdonos települések is településenként kötöttek szerződést. </w:t>
      </w:r>
      <w:r>
        <w:t>Mindhárom közműrendszer vonatkozásában el</w:t>
      </w:r>
      <w:r w:rsidR="00D46B84">
        <w:t>készültek az előzetesen egyeztetett bérleti-üzemeltetési szerződések.</w:t>
      </w:r>
    </w:p>
    <w:p w:rsidR="003039E9" w:rsidRDefault="003039E9" w:rsidP="00154ADC">
      <w:pPr>
        <w:jc w:val="both"/>
      </w:pPr>
    </w:p>
    <w:p w:rsidR="00A14FE3" w:rsidRDefault="00355C22" w:rsidP="00154ADC">
      <w:pPr>
        <w:jc w:val="both"/>
      </w:pPr>
      <w:r>
        <w:t>Az összedolgozott szerződések KMJV Önkormányzata vonatkozásában a 12-es ivóvíz rendszer és a 28. szennyvízrendszer tekintetében</w:t>
      </w:r>
      <w:r w:rsidR="00A87BFB">
        <w:t xml:space="preserve"> a jelenleg hatályos szerződés felté</w:t>
      </w:r>
      <w:r w:rsidR="00795F95">
        <w:t>teleit tartalmazzák. A 40</w:t>
      </w:r>
      <w:r w:rsidR="00795F95" w:rsidRPr="00795F95">
        <w:t>. Simonfa – Zselickislak – Zselicszentpál - Töröcske szennyvíz</w:t>
      </w:r>
      <w:r w:rsidR="00795F95">
        <w:t>rendsze</w:t>
      </w:r>
      <w:r w:rsidR="00AD47FE">
        <w:t>r esetében azonban a szerződés</w:t>
      </w:r>
      <w:r w:rsidR="00795F95">
        <w:t xml:space="preserve"> hatályát határozatlan időről le kellett csökkenteni 2019. augusztus 4-re</w:t>
      </w:r>
      <w:r w:rsidR="00795F95" w:rsidRPr="00A14FE3">
        <w:t>. Ennek oka</w:t>
      </w:r>
      <w:r w:rsidR="00C0790F">
        <w:t xml:space="preserve"> </w:t>
      </w:r>
      <w:r w:rsidR="00A14FE3">
        <w:t>az, hogy a MEKH ajánlása szerint csak akkor fogadható el szerződésmódosításnak a települések szerződéseinek v</w:t>
      </w:r>
      <w:r w:rsidR="00AD47FE">
        <w:t>íziközmű-</w:t>
      </w:r>
      <w:r w:rsidR="00A14FE3">
        <w:t xml:space="preserve">rendszerenkénti bontásban történő átírása, ha </w:t>
      </w:r>
      <w:r w:rsidR="00734B64">
        <w:t xml:space="preserve">az a </w:t>
      </w:r>
      <w:r w:rsidR="00A14FE3">
        <w:t>legelőször lejáró szerződés dátumára van kötve. A 40. számú v</w:t>
      </w:r>
      <w:r w:rsidR="00AD47FE">
        <w:t>íziközmű-</w:t>
      </w:r>
      <w:r w:rsidR="00A14FE3">
        <w:t>rendszer</w:t>
      </w:r>
      <w:r w:rsidR="00734B64">
        <w:t>ben</w:t>
      </w:r>
      <w:r w:rsidR="00A14FE3">
        <w:t xml:space="preserve"> Simonfa és Zselickislak települések esetében az eredeti szerződés hatálya 201</w:t>
      </w:r>
      <w:r w:rsidR="00AD47FE">
        <w:t>9</w:t>
      </w:r>
      <w:r w:rsidR="00A14FE3">
        <w:t>. augusztus 4-ig tart, így az erre a v</w:t>
      </w:r>
      <w:r w:rsidR="00AD47FE">
        <w:t>íziközmű-</w:t>
      </w:r>
      <w:r w:rsidR="00A14FE3">
        <w:t>rendszerre kötött szerződés is eddig hatályos</w:t>
      </w:r>
      <w:r w:rsidR="00734B64">
        <w:t>.</w:t>
      </w:r>
    </w:p>
    <w:p w:rsidR="00633BA0" w:rsidRDefault="00633BA0" w:rsidP="00154ADC">
      <w:pPr>
        <w:tabs>
          <w:tab w:val="left" w:pos="426"/>
          <w:tab w:val="num" w:pos="851"/>
        </w:tabs>
        <w:spacing w:line="276" w:lineRule="auto"/>
        <w:jc w:val="both"/>
        <w:rPr>
          <w:color w:val="000000"/>
        </w:rPr>
      </w:pPr>
      <w:bookmarkStart w:id="0" w:name="_GoBack"/>
      <w:bookmarkEnd w:id="0"/>
    </w:p>
    <w:p w:rsidR="00633BA0" w:rsidRDefault="00D6780D" w:rsidP="00633BA0">
      <w:pPr>
        <w:tabs>
          <w:tab w:val="left" w:pos="0"/>
        </w:tabs>
        <w:spacing w:after="120"/>
        <w:jc w:val="both"/>
        <w:rPr>
          <w:lang w:eastAsia="ar-SA"/>
        </w:rPr>
      </w:pPr>
      <w:r>
        <w:rPr>
          <w:rFonts w:ascii="Times New Roman ,serif" w:hAnsi="Times New Roman ,serif"/>
        </w:rPr>
        <w:t>Kérem a Tisztelt Közgyűlést, hogy a jelen előte</w:t>
      </w:r>
      <w:r w:rsidR="00396094">
        <w:rPr>
          <w:rFonts w:ascii="Times New Roman ,serif" w:hAnsi="Times New Roman ,serif"/>
        </w:rPr>
        <w:t xml:space="preserve">rjesztés mellékletét </w:t>
      </w:r>
      <w:r w:rsidR="00FE520F">
        <w:rPr>
          <w:rFonts w:ascii="Times New Roman ,serif" w:hAnsi="Times New Roman ,serif"/>
        </w:rPr>
        <w:t xml:space="preserve">képező </w:t>
      </w:r>
      <w:r w:rsidR="00D46B84">
        <w:rPr>
          <w:rFonts w:ascii="Times New Roman ,serif" w:hAnsi="Times New Roman ,serif"/>
        </w:rPr>
        <w:t>3 db b</w:t>
      </w:r>
      <w:r w:rsidR="00FE520F">
        <w:rPr>
          <w:rFonts w:ascii="Times New Roman ,serif" w:hAnsi="Times New Roman ,serif"/>
        </w:rPr>
        <w:t>érleti – üzemeltetési szerződés tervezetét</w:t>
      </w:r>
      <w:r>
        <w:rPr>
          <w:rFonts w:ascii="Times New Roman ,serif" w:hAnsi="Times New Roman ,serif"/>
        </w:rPr>
        <w:t xml:space="preserve"> hagyja jóvá</w:t>
      </w:r>
      <w:r w:rsidR="00396094">
        <w:rPr>
          <w:rFonts w:ascii="Times New Roman ,serif" w:hAnsi="Times New Roman ,serif"/>
        </w:rPr>
        <w:t>,</w:t>
      </w:r>
      <w:r>
        <w:rPr>
          <w:rFonts w:ascii="Times New Roman ,serif" w:hAnsi="Times New Roman ,serif"/>
        </w:rPr>
        <w:t xml:space="preserve"> és hatalmazzon fel a </w:t>
      </w:r>
      <w:r w:rsidR="00D162A0">
        <w:rPr>
          <w:rFonts w:ascii="Times New Roman ,serif" w:hAnsi="Times New Roman ,serif"/>
        </w:rPr>
        <w:t xml:space="preserve">megállapodás </w:t>
      </w:r>
      <w:r>
        <w:rPr>
          <w:rFonts w:ascii="Times New Roman ,serif" w:hAnsi="Times New Roman ,serif"/>
        </w:rPr>
        <w:t>- szerződő partnerrel történő véglege</w:t>
      </w:r>
      <w:r w:rsidR="000C5524">
        <w:rPr>
          <w:rFonts w:ascii="Times New Roman ,serif" w:hAnsi="Times New Roman ,serif"/>
        </w:rPr>
        <w:t xml:space="preserve">s egyeztetés során felmerülő </w:t>
      </w:r>
      <w:r w:rsidR="00C0790F">
        <w:rPr>
          <w:rFonts w:ascii="Times New Roman ,serif" w:hAnsi="Times New Roman ,serif"/>
        </w:rPr>
        <w:t xml:space="preserve">érdemi részletet nem érintő </w:t>
      </w:r>
      <w:r>
        <w:rPr>
          <w:rFonts w:ascii="Times New Roman ,serif" w:hAnsi="Times New Roman ,serif"/>
        </w:rPr>
        <w:t>módosítások átv</w:t>
      </w:r>
      <w:r w:rsidR="000C5524">
        <w:rPr>
          <w:rFonts w:ascii="Times New Roman ,serif" w:hAnsi="Times New Roman ,serif"/>
        </w:rPr>
        <w:t>ezetésével történő – aláírására, utólagos beszámolási kötelezettséggel.</w:t>
      </w:r>
    </w:p>
    <w:p w:rsidR="00633BA0" w:rsidRDefault="00633BA0" w:rsidP="00345AE6">
      <w:pPr>
        <w:tabs>
          <w:tab w:val="left" w:pos="426"/>
          <w:tab w:val="num" w:pos="851"/>
        </w:tabs>
        <w:spacing w:line="276" w:lineRule="auto"/>
        <w:jc w:val="both"/>
        <w:rPr>
          <w:color w:val="000000"/>
        </w:rPr>
      </w:pPr>
    </w:p>
    <w:p w:rsidR="00633BA0" w:rsidRPr="00FC5B8F" w:rsidRDefault="00633BA0" w:rsidP="00633BA0">
      <w:pPr>
        <w:jc w:val="both"/>
        <w:rPr>
          <w:b/>
        </w:rPr>
      </w:pPr>
      <w:r w:rsidRPr="00FC5B8F">
        <w:rPr>
          <w:b/>
        </w:rPr>
        <w:t xml:space="preserve">Kaposvár, </w:t>
      </w:r>
      <w:r w:rsidR="00D46B84">
        <w:rPr>
          <w:b/>
        </w:rPr>
        <w:t>2017. november 13.</w:t>
      </w:r>
    </w:p>
    <w:p w:rsidR="00633BA0" w:rsidRDefault="00633BA0" w:rsidP="00633BA0">
      <w:pPr>
        <w:jc w:val="both"/>
      </w:pPr>
      <w:r w:rsidRPr="00FC5B8F">
        <w:tab/>
      </w:r>
      <w:r w:rsidRPr="00FC5B8F">
        <w:tab/>
      </w:r>
      <w:r w:rsidRPr="00FC5B8F">
        <w:tab/>
      </w:r>
      <w:r w:rsidRPr="00FC5B8F">
        <w:tab/>
      </w:r>
      <w:r w:rsidRPr="00FC5B8F">
        <w:tab/>
      </w:r>
      <w:r w:rsidRPr="00FC5B8F">
        <w:tab/>
      </w:r>
      <w:r w:rsidRPr="00FC5B8F">
        <w:tab/>
      </w:r>
      <w:r w:rsidRPr="00FC5B8F">
        <w:tab/>
      </w:r>
    </w:p>
    <w:p w:rsidR="00633BA0" w:rsidRPr="00FC5B8F" w:rsidRDefault="00633BA0" w:rsidP="00633BA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5B8F">
        <w:tab/>
      </w:r>
      <w:r w:rsidRPr="00FC5B8F">
        <w:rPr>
          <w:b/>
        </w:rPr>
        <w:t>Szita Károly</w:t>
      </w:r>
    </w:p>
    <w:p w:rsidR="00633BA0" w:rsidRDefault="00633BA0" w:rsidP="00633BA0">
      <w:pPr>
        <w:jc w:val="both"/>
      </w:pPr>
      <w:r w:rsidRPr="00FC5B8F">
        <w:rPr>
          <w:b/>
        </w:rPr>
        <w:tab/>
      </w:r>
      <w:r w:rsidRPr="00FC5B8F">
        <w:rPr>
          <w:b/>
        </w:rPr>
        <w:tab/>
      </w:r>
      <w:r w:rsidRPr="00FC5B8F">
        <w:rPr>
          <w:b/>
        </w:rPr>
        <w:tab/>
      </w:r>
      <w:r w:rsidRPr="00FC5B8F">
        <w:rPr>
          <w:b/>
        </w:rPr>
        <w:tab/>
      </w:r>
      <w:r w:rsidRPr="00FC5B8F">
        <w:rPr>
          <w:b/>
        </w:rPr>
        <w:tab/>
      </w:r>
      <w:r w:rsidRPr="00FC5B8F">
        <w:rPr>
          <w:b/>
        </w:rPr>
        <w:tab/>
      </w:r>
      <w:r w:rsidRPr="00FC5B8F">
        <w:rPr>
          <w:b/>
        </w:rPr>
        <w:tab/>
      </w:r>
      <w:r w:rsidRPr="00FC5B8F">
        <w:rPr>
          <w:b/>
        </w:rPr>
        <w:tab/>
      </w:r>
      <w:r w:rsidRPr="00FC5B8F">
        <w:rPr>
          <w:b/>
        </w:rPr>
        <w:tab/>
      </w:r>
      <w:r>
        <w:t>polgármester</w:t>
      </w:r>
    </w:p>
    <w:p w:rsidR="00633BA0" w:rsidRDefault="00633BA0" w:rsidP="00345AE6">
      <w:pPr>
        <w:tabs>
          <w:tab w:val="left" w:pos="426"/>
          <w:tab w:val="num" w:pos="851"/>
        </w:tabs>
        <w:spacing w:line="276" w:lineRule="auto"/>
        <w:jc w:val="both"/>
        <w:rPr>
          <w:color w:val="000000"/>
        </w:rPr>
      </w:pPr>
    </w:p>
    <w:p w:rsidR="00A14FE3" w:rsidRDefault="00A14FE3" w:rsidP="00345AE6">
      <w:pPr>
        <w:tabs>
          <w:tab w:val="left" w:pos="426"/>
          <w:tab w:val="num" w:pos="851"/>
        </w:tabs>
        <w:spacing w:line="276" w:lineRule="auto"/>
        <w:jc w:val="both"/>
        <w:rPr>
          <w:color w:val="000000"/>
        </w:rPr>
      </w:pPr>
    </w:p>
    <w:p w:rsidR="00A14FE3" w:rsidRDefault="00A14FE3" w:rsidP="00345AE6">
      <w:pPr>
        <w:tabs>
          <w:tab w:val="left" w:pos="426"/>
          <w:tab w:val="num" w:pos="851"/>
        </w:tabs>
        <w:spacing w:line="276" w:lineRule="auto"/>
        <w:jc w:val="both"/>
        <w:rPr>
          <w:color w:val="000000"/>
        </w:rPr>
      </w:pPr>
    </w:p>
    <w:p w:rsidR="00A14FE3" w:rsidRDefault="00A14FE3" w:rsidP="00345AE6">
      <w:pPr>
        <w:tabs>
          <w:tab w:val="left" w:pos="426"/>
          <w:tab w:val="num" w:pos="851"/>
        </w:tabs>
        <w:spacing w:line="276" w:lineRule="auto"/>
        <w:jc w:val="both"/>
        <w:rPr>
          <w:color w:val="000000"/>
        </w:rPr>
      </w:pPr>
    </w:p>
    <w:p w:rsidR="00A14FE3" w:rsidRDefault="00A14FE3" w:rsidP="00345AE6">
      <w:pPr>
        <w:tabs>
          <w:tab w:val="left" w:pos="426"/>
          <w:tab w:val="num" w:pos="851"/>
        </w:tabs>
        <w:spacing w:line="276" w:lineRule="auto"/>
        <w:jc w:val="both"/>
        <w:rPr>
          <w:color w:val="000000"/>
        </w:rPr>
      </w:pPr>
    </w:p>
    <w:p w:rsidR="00A14FE3" w:rsidRDefault="00A14FE3" w:rsidP="00345AE6">
      <w:pPr>
        <w:tabs>
          <w:tab w:val="left" w:pos="426"/>
          <w:tab w:val="num" w:pos="851"/>
        </w:tabs>
        <w:spacing w:line="276" w:lineRule="auto"/>
        <w:jc w:val="both"/>
        <w:rPr>
          <w:color w:val="000000"/>
        </w:rPr>
      </w:pPr>
    </w:p>
    <w:p w:rsidR="00A14FE3" w:rsidRDefault="00A14FE3" w:rsidP="00345AE6">
      <w:pPr>
        <w:tabs>
          <w:tab w:val="left" w:pos="426"/>
          <w:tab w:val="num" w:pos="851"/>
        </w:tabs>
        <w:spacing w:line="276" w:lineRule="auto"/>
        <w:jc w:val="both"/>
        <w:rPr>
          <w:color w:val="000000"/>
        </w:rPr>
      </w:pPr>
    </w:p>
    <w:p w:rsidR="00A14FE3" w:rsidRDefault="00A14FE3" w:rsidP="00345AE6">
      <w:pPr>
        <w:tabs>
          <w:tab w:val="left" w:pos="426"/>
          <w:tab w:val="num" w:pos="851"/>
        </w:tabs>
        <w:spacing w:line="276" w:lineRule="auto"/>
        <w:jc w:val="both"/>
        <w:rPr>
          <w:color w:val="000000"/>
        </w:rPr>
      </w:pPr>
    </w:p>
    <w:p w:rsidR="00633BA0" w:rsidRPr="00EC7498" w:rsidRDefault="00633BA0" w:rsidP="00345AE6">
      <w:pPr>
        <w:tabs>
          <w:tab w:val="left" w:pos="426"/>
          <w:tab w:val="num" w:pos="851"/>
        </w:tabs>
        <w:spacing w:line="276" w:lineRule="auto"/>
        <w:jc w:val="both"/>
        <w:rPr>
          <w:b/>
          <w:color w:val="000000"/>
        </w:rPr>
      </w:pPr>
    </w:p>
    <w:p w:rsidR="00633BA0" w:rsidRDefault="00633BA0" w:rsidP="00633BA0">
      <w:pPr>
        <w:rPr>
          <w:b/>
        </w:rPr>
      </w:pPr>
      <w:r w:rsidRPr="00FC5B8F">
        <w:rPr>
          <w:b/>
        </w:rPr>
        <w:t>HATÁROZATI JAVASLAT</w:t>
      </w:r>
      <w:r w:rsidR="00AD47FE">
        <w:rPr>
          <w:b/>
        </w:rPr>
        <w:t>:</w:t>
      </w:r>
    </w:p>
    <w:p w:rsidR="00633BA0" w:rsidRDefault="00633BA0" w:rsidP="00633BA0">
      <w:pPr>
        <w:rPr>
          <w:b/>
        </w:rPr>
      </w:pPr>
    </w:p>
    <w:p w:rsidR="00633BA0" w:rsidRPr="00AD47FE" w:rsidRDefault="00633BA0" w:rsidP="00AD47FE">
      <w:pPr>
        <w:tabs>
          <w:tab w:val="left" w:pos="426"/>
          <w:tab w:val="num" w:pos="851"/>
        </w:tabs>
        <w:jc w:val="both"/>
      </w:pPr>
      <w:r w:rsidRPr="00AD47FE">
        <w:t>Kaposvár Megyei Jogú Város Közgyűlése</w:t>
      </w:r>
      <w:r w:rsidR="00FE520F" w:rsidRPr="00AD47FE">
        <w:t xml:space="preserve"> megtárgyalta a KAVÍZ Kft. -vel kötendő bérleti-üzemeltetési szerződésekről szóló előterjesztését és</w:t>
      </w:r>
      <w:r w:rsidRPr="00AD47FE">
        <w:t xml:space="preserve"> úgy határozott, hogy</w:t>
      </w:r>
      <w:r w:rsidR="00D6780D" w:rsidRPr="00AD47FE">
        <w:t xml:space="preserve"> az előterjesztés</w:t>
      </w:r>
      <w:r w:rsidRPr="00AD47FE">
        <w:t xml:space="preserve"> mellékletként csatolt</w:t>
      </w:r>
      <w:r w:rsidR="00CC4CA1" w:rsidRPr="00AD47FE">
        <w:t xml:space="preserve"> </w:t>
      </w:r>
      <w:r w:rsidR="00CC4CA1" w:rsidRPr="00AD47FE">
        <w:rPr>
          <w:b/>
        </w:rPr>
        <w:t>12. Kaposvár – Juta – Kaposhomok - Zselickislak ivóvíz</w:t>
      </w:r>
      <w:r w:rsidR="00CC4CA1" w:rsidRPr="00AD47FE">
        <w:t>”; a „</w:t>
      </w:r>
      <w:r w:rsidR="00CC4CA1" w:rsidRPr="00AD47FE">
        <w:rPr>
          <w:b/>
        </w:rPr>
        <w:t>28. Kaposvár szennyvíz</w:t>
      </w:r>
      <w:r w:rsidR="00CC4CA1" w:rsidRPr="00AD47FE">
        <w:t>”, illetve a „</w:t>
      </w:r>
      <w:r w:rsidR="00CC4CA1" w:rsidRPr="00AD47FE">
        <w:rPr>
          <w:b/>
        </w:rPr>
        <w:t>40. Simonfa – Zselickislak – Zselicszentpál - Töröcske szennyvíz</w:t>
      </w:r>
      <w:r w:rsidR="00CC4CA1" w:rsidRPr="00AD47FE">
        <w:t xml:space="preserve">” </w:t>
      </w:r>
      <w:r w:rsidR="009017BC" w:rsidRPr="00AD47FE">
        <w:t>víziközmű-rendszerek tekintetében</w:t>
      </w:r>
      <w:r w:rsidR="00CC4CA1" w:rsidRPr="00AD47FE">
        <w:t xml:space="preserve"> a</w:t>
      </w:r>
      <w:r w:rsidRPr="00AD47FE">
        <w:t xml:space="preserve"> </w:t>
      </w:r>
      <w:r w:rsidR="00D46B84" w:rsidRPr="00AD47FE">
        <w:rPr>
          <w:b/>
          <w:color w:val="000000"/>
        </w:rPr>
        <w:t>KAVÍZ Kft.-vel kötendő bérleti - üzemeltetési</w:t>
      </w:r>
      <w:r w:rsidR="000A7E98" w:rsidRPr="00AD47FE">
        <w:rPr>
          <w:b/>
          <w:color w:val="000000"/>
        </w:rPr>
        <w:t xml:space="preserve"> </w:t>
      </w:r>
      <w:r w:rsidR="004B4A35" w:rsidRPr="00AD47FE">
        <w:rPr>
          <w:b/>
          <w:color w:val="000000"/>
        </w:rPr>
        <w:t>szerződést</w:t>
      </w:r>
      <w:r w:rsidR="00D6780D" w:rsidRPr="00AD47FE">
        <w:rPr>
          <w:b/>
          <w:color w:val="000000"/>
        </w:rPr>
        <w:t xml:space="preserve"> jóváhagyja, és felhatalmazza a Polgármestert </w:t>
      </w:r>
      <w:r w:rsidR="00D162A0" w:rsidRPr="00AD47FE">
        <w:rPr>
          <w:b/>
          <w:color w:val="000000"/>
        </w:rPr>
        <w:t>–</w:t>
      </w:r>
      <w:r w:rsidR="00D6780D" w:rsidRPr="00AD47FE">
        <w:t xml:space="preserve"> </w:t>
      </w:r>
      <w:r w:rsidR="000C5524" w:rsidRPr="00AD47FE">
        <w:t>szerződő partnerrel történő végleges egyeztetés során felmerülő</w:t>
      </w:r>
      <w:r w:rsidR="00C0790F" w:rsidRPr="00AD47FE">
        <w:t xml:space="preserve"> érdemi részletet nem érintő</w:t>
      </w:r>
      <w:r w:rsidR="000C5524" w:rsidRPr="00AD47FE">
        <w:t xml:space="preserve"> módosítások átvezetésével történő – aláírására, utólagos beszámolási kötelezettséggel.</w:t>
      </w:r>
    </w:p>
    <w:p w:rsidR="00633BA0" w:rsidRDefault="00633BA0" w:rsidP="00633BA0">
      <w:pPr>
        <w:jc w:val="both"/>
      </w:pPr>
    </w:p>
    <w:p w:rsidR="00633BA0" w:rsidRDefault="00633BA0" w:rsidP="00633BA0">
      <w:r>
        <w:t>Felelős:</w:t>
      </w:r>
      <w:r>
        <w:tab/>
      </w:r>
      <w:r>
        <w:tab/>
        <w:t>Szita Károly polgármester</w:t>
      </w:r>
    </w:p>
    <w:p w:rsidR="00633BA0" w:rsidRDefault="00633BA0" w:rsidP="00633BA0">
      <w:r>
        <w:t>Közreműködik:</w:t>
      </w:r>
      <w:r>
        <w:tab/>
        <w:t>Szirják Imréné műszaki és pályázati igazgató</w:t>
      </w:r>
    </w:p>
    <w:p w:rsidR="00633BA0" w:rsidRDefault="00633BA0" w:rsidP="00633BA0">
      <w:r>
        <w:tab/>
      </w:r>
      <w:r>
        <w:tab/>
      </w:r>
      <w:r>
        <w:tab/>
      </w:r>
      <w:r w:rsidR="00D46B84">
        <w:t>Balogh Beáta</w:t>
      </w:r>
      <w:r>
        <w:t xml:space="preserve"> gazdasági igazgató</w:t>
      </w:r>
    </w:p>
    <w:p w:rsidR="00345AE6" w:rsidRPr="0031044D" w:rsidRDefault="00633BA0" w:rsidP="0031044D">
      <w:r>
        <w:t>Határidő:</w:t>
      </w:r>
      <w:r>
        <w:tab/>
      </w:r>
      <w:r>
        <w:tab/>
        <w:t>azonnal</w:t>
      </w:r>
    </w:p>
    <w:sectPr w:rsidR="00345AE6" w:rsidRPr="0031044D" w:rsidSect="00240F0B">
      <w:type w:val="continuous"/>
      <w:pgSz w:w="11907" w:h="16840" w:code="9"/>
      <w:pgMar w:top="748" w:right="1673" w:bottom="1043" w:left="1253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A6" w:rsidRDefault="002F74A6" w:rsidP="00331E8D">
      <w:r>
        <w:separator/>
      </w:r>
    </w:p>
  </w:endnote>
  <w:endnote w:type="continuationSeparator" w:id="0">
    <w:p w:rsidR="002F74A6" w:rsidRDefault="002F74A6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A6" w:rsidRDefault="002F74A6" w:rsidP="00331E8D">
      <w:r>
        <w:separator/>
      </w:r>
    </w:p>
  </w:footnote>
  <w:footnote w:type="continuationSeparator" w:id="0">
    <w:p w:rsidR="002F74A6" w:rsidRDefault="002F74A6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76B7"/>
    <w:multiLevelType w:val="multilevel"/>
    <w:tmpl w:val="2820DAFE"/>
    <w:lvl w:ilvl="0">
      <w:start w:val="1"/>
      <w:numFmt w:val="upperLetter"/>
      <w:lvlText w:val="%1./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6"/>
    <w:rsid w:val="00053B2D"/>
    <w:rsid w:val="000A2334"/>
    <w:rsid w:val="000A7E98"/>
    <w:rsid w:val="000C5524"/>
    <w:rsid w:val="000F56AF"/>
    <w:rsid w:val="00154ADC"/>
    <w:rsid w:val="001C0094"/>
    <w:rsid w:val="0021492D"/>
    <w:rsid w:val="00226368"/>
    <w:rsid w:val="00240F0B"/>
    <w:rsid w:val="00256885"/>
    <w:rsid w:val="002957F6"/>
    <w:rsid w:val="002A5ABB"/>
    <w:rsid w:val="002C26E2"/>
    <w:rsid w:val="002E3E62"/>
    <w:rsid w:val="002F74A6"/>
    <w:rsid w:val="003039E9"/>
    <w:rsid w:val="0030470A"/>
    <w:rsid w:val="003055BC"/>
    <w:rsid w:val="0031044D"/>
    <w:rsid w:val="00331E8D"/>
    <w:rsid w:val="00345AE6"/>
    <w:rsid w:val="0035228A"/>
    <w:rsid w:val="00355C22"/>
    <w:rsid w:val="00395C50"/>
    <w:rsid w:val="00396094"/>
    <w:rsid w:val="003A3907"/>
    <w:rsid w:val="003C6CF0"/>
    <w:rsid w:val="003F23FD"/>
    <w:rsid w:val="003F5246"/>
    <w:rsid w:val="004338A6"/>
    <w:rsid w:val="00492938"/>
    <w:rsid w:val="004A1C6A"/>
    <w:rsid w:val="004B4A35"/>
    <w:rsid w:val="004F5423"/>
    <w:rsid w:val="00560D2A"/>
    <w:rsid w:val="005F0C70"/>
    <w:rsid w:val="005F1162"/>
    <w:rsid w:val="00605D70"/>
    <w:rsid w:val="00633BA0"/>
    <w:rsid w:val="0064718A"/>
    <w:rsid w:val="006A5A26"/>
    <w:rsid w:val="00701366"/>
    <w:rsid w:val="00717E8E"/>
    <w:rsid w:val="00734B64"/>
    <w:rsid w:val="00735B6F"/>
    <w:rsid w:val="007373A8"/>
    <w:rsid w:val="00755810"/>
    <w:rsid w:val="00762B6B"/>
    <w:rsid w:val="007750E7"/>
    <w:rsid w:val="00785F63"/>
    <w:rsid w:val="00795F95"/>
    <w:rsid w:val="00805572"/>
    <w:rsid w:val="008215AF"/>
    <w:rsid w:val="00825927"/>
    <w:rsid w:val="008B4C2D"/>
    <w:rsid w:val="008E7F71"/>
    <w:rsid w:val="009017BC"/>
    <w:rsid w:val="00911F55"/>
    <w:rsid w:val="00930ED8"/>
    <w:rsid w:val="009346C8"/>
    <w:rsid w:val="009C4C29"/>
    <w:rsid w:val="009D690B"/>
    <w:rsid w:val="009E4EA4"/>
    <w:rsid w:val="00A14FE3"/>
    <w:rsid w:val="00A771D7"/>
    <w:rsid w:val="00A80137"/>
    <w:rsid w:val="00A87BFB"/>
    <w:rsid w:val="00AD47FE"/>
    <w:rsid w:val="00AE2ECA"/>
    <w:rsid w:val="00BE7B8C"/>
    <w:rsid w:val="00BF1AC3"/>
    <w:rsid w:val="00C0790F"/>
    <w:rsid w:val="00C4662D"/>
    <w:rsid w:val="00C5487C"/>
    <w:rsid w:val="00C80858"/>
    <w:rsid w:val="00CC4CA1"/>
    <w:rsid w:val="00CC6020"/>
    <w:rsid w:val="00D162A0"/>
    <w:rsid w:val="00D46B84"/>
    <w:rsid w:val="00D55D3A"/>
    <w:rsid w:val="00D62BE3"/>
    <w:rsid w:val="00D6780D"/>
    <w:rsid w:val="00E52B71"/>
    <w:rsid w:val="00E92B35"/>
    <w:rsid w:val="00EB308C"/>
    <w:rsid w:val="00EE4CC8"/>
    <w:rsid w:val="00EF1A98"/>
    <w:rsid w:val="00EF38FE"/>
    <w:rsid w:val="00EF446B"/>
    <w:rsid w:val="00F22ABE"/>
    <w:rsid w:val="00F262FD"/>
    <w:rsid w:val="00F65499"/>
    <w:rsid w:val="00F71BA3"/>
    <w:rsid w:val="00F93644"/>
    <w:rsid w:val="00FA6CA0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C693-D2F4-47A1-96F3-C12E1C94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5AE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35323-5A24-47D9-BEEC-63DEED0A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407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miklosolga</dc:creator>
  <cp:keywords/>
  <dc:description/>
  <cp:lastModifiedBy>miklosolga</cp:lastModifiedBy>
  <cp:revision>16</cp:revision>
  <cp:lastPrinted>2017-11-21T10:39:00Z</cp:lastPrinted>
  <dcterms:created xsi:type="dcterms:W3CDTF">2017-03-29T06:15:00Z</dcterms:created>
  <dcterms:modified xsi:type="dcterms:W3CDTF">2017-11-21T10:46:00Z</dcterms:modified>
</cp:coreProperties>
</file>