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0A0B31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>Kaposvári Sportközpont és Sportiskola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C63CAD" w:rsidP="00C63CAD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223E1B">
        <w:trPr>
          <w:trHeight w:val="1777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val="hu-HU" w:eastAsia="en-US"/>
              </w:rPr>
            </w:pPr>
          </w:p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 xml:space="preserve"> a jóváhagyott 2015. évi belső ellenő</w:t>
            </w:r>
            <w:r w:rsidR="008E5F48">
              <w:rPr>
                <w:rFonts w:eastAsia="Calibri"/>
                <w:lang w:val="hu-HU" w:eastAsia="en-US"/>
              </w:rPr>
              <w:t>rzési munkaterv alapján került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</w:t>
            </w:r>
            <w:r w:rsidR="003B75B7" w:rsidRPr="00F67268">
              <w:rPr>
                <w:rFonts w:eastAsia="Calibri"/>
                <w:lang w:val="hu-HU"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="003B75B7"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236E7">
        <w:trPr>
          <w:trHeight w:val="1494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223E1B">
        <w:trPr>
          <w:trHeight w:val="2811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223E1B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4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277B9B" w:rsidRDefault="00754A0E" w:rsidP="00417CEB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277B9B"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367B4E"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pénzmaradvánnyal szemben beállított kötelezettségeket megfelelően alátámasztották</w:t>
                  </w:r>
                  <w:r w:rsidR="00367B4E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A vizsgálat során beállított elvonásokat</w:t>
                  </w:r>
                  <w:r w:rsidR="00F30FE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követően a dologi előirányzat</w:t>
                  </w:r>
                  <w:r w:rsidR="00367B4E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túllépést mutatott.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146B2A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az intézmény részére nem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tartalmazott</w:t>
                  </w: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javaslatot.</w:t>
                  </w:r>
                </w:p>
                <w:p w:rsidR="00754A0E" w:rsidRPr="00273003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414A2C" w:rsidRDefault="00414A2C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414A2C" w:rsidRDefault="00414A2C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B979B8">
        <w:trPr>
          <w:trHeight w:val="469"/>
        </w:trPr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B979B8" w:rsidRPr="00956648" w:rsidRDefault="00B979B8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Default="00A24828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182052" w:rsidRDefault="00A24828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A 2014. évben lefolytatott „</w:t>
            </w:r>
            <w:r w:rsidR="008E5F48" w:rsidRPr="00B979B8">
              <w:rPr>
                <w:rFonts w:eastAsia="Calibri"/>
                <w:b/>
                <w:lang w:val="hu-HU" w:eastAsia="en-US"/>
              </w:rPr>
              <w:t xml:space="preserve">2013. évi </w:t>
            </w:r>
            <w:r w:rsidR="000A0B31" w:rsidRPr="00B979B8">
              <w:rPr>
                <w:rFonts w:eastAsia="Calibri"/>
                <w:b/>
                <w:lang w:val="hu-HU" w:eastAsia="en-US"/>
              </w:rPr>
              <w:t>pénzmaradvány</w:t>
            </w:r>
            <w:r w:rsidRPr="00B979B8">
              <w:rPr>
                <w:rFonts w:eastAsia="Calibri"/>
                <w:b/>
                <w:lang w:val="hu-HU" w:eastAsia="en-US"/>
              </w:rPr>
              <w:t xml:space="preserve"> vizsgálata</w:t>
            </w:r>
            <w:r w:rsidRPr="00AA6EF8">
              <w:rPr>
                <w:rFonts w:eastAsia="Calibri"/>
                <w:lang w:val="hu-HU" w:eastAsia="en-US"/>
              </w:rPr>
              <w:t>” tá</w:t>
            </w:r>
            <w:r w:rsidR="00182052" w:rsidRPr="00AA6EF8">
              <w:rPr>
                <w:rFonts w:eastAsia="Calibri"/>
                <w:lang w:val="hu-HU" w:eastAsia="en-US"/>
              </w:rPr>
              <w:t>rgyú ellenőrzési jelentésre 2014</w:t>
            </w:r>
            <w:r w:rsidRPr="00AA6EF8">
              <w:rPr>
                <w:rFonts w:eastAsia="Calibri"/>
                <w:lang w:val="hu-HU" w:eastAsia="en-US"/>
              </w:rPr>
              <w:t>-ben készít</w:t>
            </w:r>
            <w:r w:rsidR="000A0B31">
              <w:rPr>
                <w:rFonts w:eastAsia="Calibri"/>
                <w:lang w:val="hu-HU" w:eastAsia="en-US"/>
              </w:rPr>
              <w:t>ett intézkedési terv alapján</w:t>
            </w:r>
            <w:r w:rsidR="00AA6EF8" w:rsidRPr="00AA6EF8">
              <w:rPr>
                <w:rFonts w:eastAsia="Calibri"/>
                <w:lang w:val="hu-HU" w:eastAsia="en-US"/>
              </w:rPr>
              <w:t xml:space="preserve"> </w:t>
            </w:r>
            <w:r w:rsidR="000A0B31">
              <w:rPr>
                <w:rFonts w:eastAsia="Calibri"/>
                <w:lang w:val="hu-HU" w:eastAsia="en-US"/>
              </w:rPr>
              <w:t>7</w:t>
            </w:r>
            <w:r w:rsidR="008E5F48">
              <w:rPr>
                <w:rFonts w:eastAsia="Calibri"/>
                <w:lang w:val="hu-HU" w:eastAsia="en-US"/>
              </w:rPr>
              <w:t xml:space="preserve"> db intézkedés </w:t>
            </w:r>
            <w:r w:rsidR="000A0B31">
              <w:rPr>
                <w:rFonts w:eastAsia="Calibri"/>
                <w:lang w:val="hu-HU" w:eastAsia="en-US"/>
              </w:rPr>
              <w:t>végrehajtásáról</w:t>
            </w:r>
            <w:r w:rsidR="00182052" w:rsidRPr="00AA6EF8">
              <w:rPr>
                <w:rFonts w:eastAsia="Calibri"/>
                <w:lang w:val="hu-HU" w:eastAsia="en-US"/>
              </w:rPr>
              <w:t xml:space="preserve"> 2015-ben </w:t>
            </w:r>
            <w:r w:rsidR="000A0B31">
              <w:rPr>
                <w:rFonts w:eastAsia="Calibri"/>
                <w:lang w:val="hu-HU" w:eastAsia="en-US"/>
              </w:rPr>
              <w:t>kellett az intézménynek beszámolnia. A</w:t>
            </w:r>
            <w:r w:rsidR="00182052" w:rsidRPr="00AA6EF8">
              <w:rPr>
                <w:rFonts w:eastAsia="Calibri"/>
                <w:lang w:val="hu-HU" w:eastAsia="en-US"/>
              </w:rPr>
              <w:t xml:space="preserve"> beszámoló szerint </w:t>
            </w:r>
            <w:r w:rsidR="000A0B31">
              <w:rPr>
                <w:rFonts w:eastAsia="Calibri"/>
                <w:lang w:val="hu-HU" w:eastAsia="en-US"/>
              </w:rPr>
              <w:t>a 7</w:t>
            </w:r>
            <w:r w:rsidR="008E5F48">
              <w:rPr>
                <w:rFonts w:eastAsia="Calibri"/>
                <w:lang w:val="hu-HU" w:eastAsia="en-US"/>
              </w:rPr>
              <w:t xml:space="preserve"> db</w:t>
            </w:r>
            <w:r w:rsidR="00AA6EF8" w:rsidRPr="00AA6EF8">
              <w:rPr>
                <w:rFonts w:eastAsia="Calibri"/>
                <w:lang w:val="hu-HU" w:eastAsia="en-US"/>
              </w:rPr>
              <w:t xml:space="preserve"> intézkedést </w:t>
            </w:r>
            <w:r w:rsidR="00FE631F">
              <w:rPr>
                <w:rFonts w:eastAsia="Calibri"/>
                <w:lang w:val="hu-HU" w:eastAsia="en-US"/>
              </w:rPr>
              <w:t xml:space="preserve">2014. évben végre </w:t>
            </w:r>
            <w:r w:rsidR="00182052" w:rsidRPr="00AA6EF8">
              <w:rPr>
                <w:rFonts w:eastAsia="Calibri"/>
                <w:lang w:val="hu-HU" w:eastAsia="en-US"/>
              </w:rPr>
              <w:t>hajtották.</w:t>
            </w:r>
          </w:p>
          <w:p w:rsidR="00FE631F" w:rsidRDefault="00FE631F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FE631F" w:rsidRDefault="00FE631F" w:rsidP="00FE631F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lastRenderedPageBreak/>
              <w:t>A 2014. évben lefolytatott „</w:t>
            </w:r>
            <w:r w:rsidRPr="00B979B8">
              <w:rPr>
                <w:rFonts w:eastAsia="Calibri"/>
                <w:b/>
                <w:lang w:val="hu-HU" w:eastAsia="en-US"/>
              </w:rPr>
              <w:t>Belső kontrollrendszer vizsgálata</w:t>
            </w:r>
            <w:r w:rsidRPr="00AA6EF8">
              <w:rPr>
                <w:rFonts w:eastAsia="Calibri"/>
                <w:lang w:val="hu-HU" w:eastAsia="en-US"/>
              </w:rPr>
              <w:t>” tárgyú ellenőrz</w:t>
            </w:r>
            <w:r>
              <w:rPr>
                <w:rFonts w:eastAsia="Calibri"/>
                <w:lang w:val="hu-HU" w:eastAsia="en-US"/>
              </w:rPr>
              <w:t>ési jelentésre 2015</w:t>
            </w:r>
            <w:r w:rsidRPr="00AA6EF8">
              <w:rPr>
                <w:rFonts w:eastAsia="Calibri"/>
                <w:lang w:val="hu-HU" w:eastAsia="en-US"/>
              </w:rPr>
              <w:t>-ben készít</w:t>
            </w:r>
            <w:r>
              <w:rPr>
                <w:rFonts w:eastAsia="Calibri"/>
                <w:lang w:val="hu-HU" w:eastAsia="en-US"/>
              </w:rPr>
              <w:t>ett intézkedési terv alapján</w:t>
            </w:r>
            <w:r w:rsidRPr="00AA6EF8">
              <w:rPr>
                <w:rFonts w:eastAsia="Calibri"/>
                <w:lang w:val="hu-HU" w:eastAsia="en-US"/>
              </w:rPr>
              <w:t xml:space="preserve"> </w:t>
            </w:r>
            <w:r>
              <w:rPr>
                <w:rFonts w:eastAsia="Calibri"/>
                <w:lang w:val="hu-HU" w:eastAsia="en-US"/>
              </w:rPr>
              <w:t>10 db intézkedés végrehajtásáról</w:t>
            </w:r>
            <w:r w:rsidRPr="00AA6EF8">
              <w:rPr>
                <w:rFonts w:eastAsia="Calibri"/>
                <w:lang w:val="hu-HU" w:eastAsia="en-US"/>
              </w:rPr>
              <w:t xml:space="preserve"> 2015-ben </w:t>
            </w:r>
            <w:r>
              <w:rPr>
                <w:rFonts w:eastAsia="Calibri"/>
                <w:lang w:val="hu-HU" w:eastAsia="en-US"/>
              </w:rPr>
              <w:t>kellett az intézménynek beszámolnia. A</w:t>
            </w:r>
            <w:r w:rsidRPr="00AA6EF8">
              <w:rPr>
                <w:rFonts w:eastAsia="Calibri"/>
                <w:lang w:val="hu-HU" w:eastAsia="en-US"/>
              </w:rPr>
              <w:t xml:space="preserve"> beszámoló szerint </w:t>
            </w:r>
            <w:r>
              <w:rPr>
                <w:rFonts w:eastAsia="Calibri"/>
                <w:lang w:val="hu-HU" w:eastAsia="en-US"/>
              </w:rPr>
              <w:t>2015-ben 8 db</w:t>
            </w:r>
            <w:r w:rsidRPr="00AA6EF8">
              <w:rPr>
                <w:rFonts w:eastAsia="Calibri"/>
                <w:lang w:val="hu-HU" w:eastAsia="en-US"/>
              </w:rPr>
              <w:t xml:space="preserve"> intézkedést </w:t>
            </w:r>
            <w:r>
              <w:rPr>
                <w:rFonts w:eastAsia="Calibri"/>
                <w:lang w:val="hu-HU" w:eastAsia="en-US"/>
              </w:rPr>
              <w:t>hajtottak végr</w:t>
            </w:r>
            <w:r w:rsidR="001F7290">
              <w:rPr>
                <w:rFonts w:eastAsia="Calibri"/>
                <w:lang w:val="hu-HU" w:eastAsia="en-US"/>
              </w:rPr>
              <w:t>e, 2 db intézkedés végrehajtási határideje 2016-ra módosult</w:t>
            </w:r>
            <w:r>
              <w:rPr>
                <w:rFonts w:eastAsia="Calibri"/>
                <w:lang w:val="hu-HU" w:eastAsia="en-US"/>
              </w:rPr>
              <w:t>.</w:t>
            </w:r>
          </w:p>
          <w:p w:rsidR="008E5F48" w:rsidRPr="00AA6EF8" w:rsidRDefault="008E5F48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601EE9" w:rsidRPr="00956648" w:rsidRDefault="00FE631F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 2015. évben lefolytatott ellenőrzéssel kapcsolatban </w:t>
            </w:r>
            <w:r w:rsidR="008E5F48">
              <w:rPr>
                <w:rFonts w:eastAsia="Calibri"/>
                <w:lang w:val="hu-HU" w:eastAsia="en-US"/>
              </w:rPr>
              <w:t>az intézménynek intézkedési tervet nem kellett készítenie.</w:t>
            </w: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F67268" w:rsidRDefault="00F67268" w:rsidP="00320B4D"/>
    <w:p w:rsidR="00F236E7" w:rsidRDefault="00F236E7" w:rsidP="00320B4D"/>
    <w:p w:rsidR="00F236E7" w:rsidRDefault="00F236E7" w:rsidP="00320B4D"/>
    <w:p w:rsidR="00F236E7" w:rsidRPr="00F67268" w:rsidRDefault="00F236E7" w:rsidP="00320B4D"/>
    <w:p w:rsidR="00F67268" w:rsidRPr="000F11B0" w:rsidRDefault="00BE4DB0" w:rsidP="00F67268">
      <w:pPr>
        <w:rPr>
          <w:lang w:val="hu-HU"/>
        </w:rPr>
      </w:pPr>
      <w:r w:rsidRPr="000F11B0">
        <w:rPr>
          <w:lang w:val="hu-HU"/>
        </w:rPr>
        <w:t>Kaposvár, 201</w:t>
      </w:r>
      <w:r w:rsidR="00656C58">
        <w:rPr>
          <w:lang w:val="hu-HU"/>
        </w:rPr>
        <w:t>6</w:t>
      </w:r>
      <w:r w:rsidR="00F67268" w:rsidRPr="000F11B0">
        <w:rPr>
          <w:lang w:val="hu-HU"/>
        </w:rPr>
        <w:t xml:space="preserve">. </w:t>
      </w:r>
      <w:r w:rsidR="00656C58">
        <w:rPr>
          <w:lang w:val="hu-HU"/>
        </w:rPr>
        <w:t>február 12</w:t>
      </w:r>
      <w:r w:rsidR="00F67268" w:rsidRPr="000F11B0">
        <w:rPr>
          <w:lang w:val="hu-HU"/>
        </w:rPr>
        <w:t>.</w:t>
      </w:r>
    </w:p>
    <w:p w:rsidR="00F67268" w:rsidRDefault="00F67268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Pr="000F11B0" w:rsidRDefault="00F236E7" w:rsidP="00F67268">
      <w:pPr>
        <w:rPr>
          <w:lang w:val="hu-HU"/>
        </w:rPr>
      </w:pP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r w:rsidR="00656C58">
        <w:rPr>
          <w:lang w:val="hu-HU"/>
        </w:rPr>
        <w:t>Kiss Brigitta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r w:rsidR="00656C58">
        <w:rPr>
          <w:lang w:val="hu-HU"/>
        </w:rPr>
        <w:t xml:space="preserve">                   </w:t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sectPr w:rsidR="00F67268" w:rsidRPr="000F11B0" w:rsidSect="00D53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C5" w:rsidRDefault="00CC79C5" w:rsidP="00F410F1">
      <w:r>
        <w:separator/>
      </w:r>
    </w:p>
  </w:endnote>
  <w:endnote w:type="continuationSeparator" w:id="0">
    <w:p w:rsidR="00CC79C5" w:rsidRDefault="00CC79C5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34" w:rsidRDefault="007958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34" w:rsidRDefault="007958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34" w:rsidRDefault="007958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C5" w:rsidRDefault="00CC79C5" w:rsidP="00F410F1">
      <w:r>
        <w:separator/>
      </w:r>
    </w:p>
  </w:footnote>
  <w:footnote w:type="continuationSeparator" w:id="0">
    <w:p w:rsidR="00CC79C5" w:rsidRDefault="00CC79C5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34" w:rsidRDefault="007958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34" w:rsidRPr="00795834" w:rsidRDefault="00795834" w:rsidP="00795834">
    <w:pPr>
      <w:pStyle w:val="lfej"/>
      <w:jc w:val="right"/>
      <w:rPr>
        <w:sz w:val="20"/>
        <w:szCs w:val="20"/>
        <w:lang w:val="hu-HU"/>
      </w:rPr>
    </w:pPr>
    <w:bookmarkStart w:id="0" w:name="_GoBack"/>
    <w:bookmarkEnd w:id="0"/>
    <w:r w:rsidRPr="00795834">
      <w:rPr>
        <w:sz w:val="20"/>
        <w:szCs w:val="20"/>
        <w:lang w:val="hu-HU"/>
      </w:rPr>
      <w:t>14.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7EF6"/>
    <w:rsid w:val="000A0B31"/>
    <w:rsid w:val="000F11B0"/>
    <w:rsid w:val="00112191"/>
    <w:rsid w:val="001204EB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1F7290"/>
    <w:rsid w:val="00207A23"/>
    <w:rsid w:val="00215395"/>
    <w:rsid w:val="00223E1B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67B4E"/>
    <w:rsid w:val="00393D64"/>
    <w:rsid w:val="003A3A86"/>
    <w:rsid w:val="003A41C1"/>
    <w:rsid w:val="003B6F33"/>
    <w:rsid w:val="003B75B7"/>
    <w:rsid w:val="003D3A7E"/>
    <w:rsid w:val="003E1C31"/>
    <w:rsid w:val="003E4229"/>
    <w:rsid w:val="00414A2C"/>
    <w:rsid w:val="00417CEB"/>
    <w:rsid w:val="00440385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F4730"/>
    <w:rsid w:val="00601EE9"/>
    <w:rsid w:val="00602D86"/>
    <w:rsid w:val="00647DC3"/>
    <w:rsid w:val="00656C58"/>
    <w:rsid w:val="006613B4"/>
    <w:rsid w:val="00675621"/>
    <w:rsid w:val="006A1F8C"/>
    <w:rsid w:val="006A30A8"/>
    <w:rsid w:val="00717592"/>
    <w:rsid w:val="007427E8"/>
    <w:rsid w:val="00747307"/>
    <w:rsid w:val="00751A50"/>
    <w:rsid w:val="00754A0E"/>
    <w:rsid w:val="00795834"/>
    <w:rsid w:val="007A068D"/>
    <w:rsid w:val="007A2213"/>
    <w:rsid w:val="007C3169"/>
    <w:rsid w:val="007C7277"/>
    <w:rsid w:val="007D599A"/>
    <w:rsid w:val="007E6C6E"/>
    <w:rsid w:val="007F0BD3"/>
    <w:rsid w:val="00802622"/>
    <w:rsid w:val="00853F6E"/>
    <w:rsid w:val="0085796B"/>
    <w:rsid w:val="008607FC"/>
    <w:rsid w:val="00864BA0"/>
    <w:rsid w:val="008A591E"/>
    <w:rsid w:val="008B7A96"/>
    <w:rsid w:val="008D691C"/>
    <w:rsid w:val="008E4989"/>
    <w:rsid w:val="008E5F48"/>
    <w:rsid w:val="009014D5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95AAA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591C"/>
    <w:rsid w:val="00B11FE2"/>
    <w:rsid w:val="00B223A8"/>
    <w:rsid w:val="00B64D14"/>
    <w:rsid w:val="00B907B3"/>
    <w:rsid w:val="00B912E2"/>
    <w:rsid w:val="00B979B8"/>
    <w:rsid w:val="00BC4E37"/>
    <w:rsid w:val="00BE420A"/>
    <w:rsid w:val="00BE4DB0"/>
    <w:rsid w:val="00C03861"/>
    <w:rsid w:val="00C11520"/>
    <w:rsid w:val="00C142B0"/>
    <w:rsid w:val="00C63CAD"/>
    <w:rsid w:val="00C81DA4"/>
    <w:rsid w:val="00C92E3D"/>
    <w:rsid w:val="00CC79C5"/>
    <w:rsid w:val="00CD4BC0"/>
    <w:rsid w:val="00CD6A35"/>
    <w:rsid w:val="00D02D25"/>
    <w:rsid w:val="00D22010"/>
    <w:rsid w:val="00D23BAB"/>
    <w:rsid w:val="00D53A38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DF2B03"/>
    <w:rsid w:val="00E33ED3"/>
    <w:rsid w:val="00E87456"/>
    <w:rsid w:val="00E87B09"/>
    <w:rsid w:val="00ED267F"/>
    <w:rsid w:val="00EF5A6D"/>
    <w:rsid w:val="00F236E7"/>
    <w:rsid w:val="00F2459A"/>
    <w:rsid w:val="00F30FE3"/>
    <w:rsid w:val="00F410F1"/>
    <w:rsid w:val="00F4743B"/>
    <w:rsid w:val="00F67268"/>
    <w:rsid w:val="00F872A9"/>
    <w:rsid w:val="00FB24E8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CF24-C8D0-49F8-9692-A95AA47B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1040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9</cp:revision>
  <cp:lastPrinted>2016-03-29T12:58:00Z</cp:lastPrinted>
  <dcterms:created xsi:type="dcterms:W3CDTF">2016-03-05T09:41:00Z</dcterms:created>
  <dcterms:modified xsi:type="dcterms:W3CDTF">2016-03-29T13:06:00Z</dcterms:modified>
</cp:coreProperties>
</file>