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A3678A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 xml:space="preserve">Kaposvári </w:t>
            </w:r>
            <w:r w:rsidR="00A3678A">
              <w:rPr>
                <w:rFonts w:eastAsia="Calibri"/>
                <w:b/>
                <w:lang w:val="hu-HU" w:eastAsia="en-US"/>
              </w:rPr>
              <w:t>Bajcsy-Zsilinszky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A3678A">
              <w:rPr>
                <w:rFonts w:eastAsia="Calibri"/>
                <w:b/>
                <w:lang w:val="hu-HU" w:eastAsia="en-US"/>
              </w:rPr>
              <w:t>Utcai</w:t>
            </w:r>
            <w:r>
              <w:rPr>
                <w:rFonts w:eastAsia="Calibri"/>
                <w:b/>
                <w:lang w:val="hu-HU" w:eastAsia="en-US"/>
              </w:rPr>
              <w:t xml:space="preserve"> </w:t>
            </w:r>
            <w:r w:rsidR="005822B2">
              <w:rPr>
                <w:rFonts w:eastAsia="Calibri"/>
                <w:b/>
                <w:lang w:val="hu-HU"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  <w:lang w:val="hu-HU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nyilvántartások vizsgálata.</w:t>
                  </w:r>
                </w:p>
              </w:tc>
            </w:tr>
            <w:tr w:rsidR="00C63CAD" w:rsidRPr="00F67268" w:rsidTr="00ED267F">
              <w:tc>
                <w:tcPr>
                  <w:tcW w:w="2193" w:type="dxa"/>
                </w:tcPr>
                <w:p w:rsidR="00C63CAD" w:rsidRPr="00956648" w:rsidRDefault="00467EB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munkát közvetlenül segítők létszáma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63CAD" w:rsidP="00956648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C63CA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3B75B7" w:rsidRPr="00F67268" w:rsidRDefault="003B75B7" w:rsidP="00656C58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>ek a jóváhagyott 2015. évi belső ellenőrzési munkaterv alapján kerültek végrehajtásra.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0C3D59">
        <w:trPr>
          <w:trHeight w:val="1133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0C3D59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tbl>
            <w:tblPr>
              <w:tblW w:w="0" w:type="auto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111"/>
            </w:tblGrid>
            <w:tr w:rsidR="005B0B73" w:rsidRPr="00F67268" w:rsidTr="00F236E7">
              <w:tc>
                <w:tcPr>
                  <w:tcW w:w="4678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11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7A068D" w:rsidRPr="00F67268" w:rsidTr="00F236E7">
              <w:tc>
                <w:tcPr>
                  <w:tcW w:w="4678" w:type="dxa"/>
                </w:tcPr>
                <w:p w:rsidR="007A068D" w:rsidRPr="000C3D59" w:rsidRDefault="00C11520" w:rsidP="000C3D59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0C3D5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Gyermek utáni szabadság időarányos megállapítása a közfoglalkoztatottak esetében</w:t>
                  </w:r>
                </w:p>
              </w:tc>
              <w:tc>
                <w:tcPr>
                  <w:tcW w:w="4111" w:type="dxa"/>
                </w:tcPr>
                <w:p w:rsidR="00FB24E8" w:rsidRPr="000C3D59" w:rsidRDefault="00C11520" w:rsidP="000C3D59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0C3D5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gyermek utáni pótszabadságot helyesen számolják.</w:t>
                  </w:r>
                </w:p>
              </w:tc>
            </w:tr>
            <w:tr w:rsidR="007A068D" w:rsidRPr="00F67268" w:rsidTr="00F236E7">
              <w:tc>
                <w:tcPr>
                  <w:tcW w:w="4678" w:type="dxa"/>
                  <w:vAlign w:val="center"/>
                </w:tcPr>
                <w:p w:rsidR="00FB24E8" w:rsidRPr="000C3D59" w:rsidRDefault="00C11520" w:rsidP="000C3D59">
                  <w:pPr>
                    <w:rPr>
                      <w:iCs/>
                      <w:sz w:val="20"/>
                      <w:szCs w:val="20"/>
                      <w:lang w:val="hu-HU"/>
                    </w:rPr>
                  </w:pPr>
                  <w:r w:rsidRPr="000C3D59">
                    <w:rPr>
                      <w:iCs/>
                      <w:sz w:val="20"/>
                      <w:szCs w:val="20"/>
                      <w:lang w:val="hu-HU"/>
                    </w:rPr>
                    <w:t>Jelenléti ívek vezetése, javítása</w:t>
                  </w:r>
                </w:p>
              </w:tc>
              <w:tc>
                <w:tcPr>
                  <w:tcW w:w="4111" w:type="dxa"/>
                </w:tcPr>
                <w:p w:rsidR="007A068D" w:rsidRPr="000C3D59" w:rsidRDefault="00C11520" w:rsidP="000C3D59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0C3D5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jelenléti íveket szabályosan vezetik, javítják.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236E7">
        <w:trPr>
          <w:trHeight w:val="3985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7F0BD3" w:rsidTr="00F236E7">
              <w:trPr>
                <w:trHeight w:val="87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73003" w:rsidRDefault="00C11520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7F0BD3"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7D1F" w:rsidRPr="00BD5320" w:rsidRDefault="00BD5320" w:rsidP="00C11520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BD5320">
                    <w:rPr>
                      <w:sz w:val="20"/>
                      <w:szCs w:val="20"/>
                      <w:lang w:val="hu-HU"/>
                    </w:rPr>
                    <w:t>1 fő esetében a</w:t>
                  </w:r>
                  <w:r w:rsidR="00C635BE">
                    <w:rPr>
                      <w:sz w:val="20"/>
                      <w:szCs w:val="20"/>
                      <w:lang w:val="hu-HU"/>
                    </w:rPr>
                    <w:t>z igazolás hatályosságá</w:t>
                  </w:r>
                  <w:r w:rsidRPr="00BD5320">
                    <w:rPr>
                      <w:sz w:val="20"/>
                      <w:szCs w:val="20"/>
                      <w:lang w:val="hu-HU"/>
                    </w:rPr>
                    <w:t xml:space="preserve">t megelőzően is biztosították a kedvezményes étkezést, a többi esetben a jogszabályi előírások szerint jártak el.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02D25" w:rsidRPr="00273003" w:rsidRDefault="00D02D25" w:rsidP="00467EBD">
                  <w:pPr>
                    <w:suppressAutoHyphens/>
                    <w:ind w:left="137" w:hanging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7427E8" w:rsidRPr="00273003" w:rsidRDefault="00467EBD" w:rsidP="00467EBD">
                  <w:pPr>
                    <w:numPr>
                      <w:ilvl w:val="0"/>
                      <w:numId w:val="10"/>
                    </w:numPr>
                    <w:suppressAutoHyphens/>
                    <w:ind w:left="137" w:hanging="15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étkezési kedvezményt az igazolások érvényességi idejére biztosítsák.</w:t>
                  </w:r>
                </w:p>
              </w:tc>
            </w:tr>
            <w:tr w:rsidR="00146B2A" w:rsidRPr="007F0BD3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146B2A" w:rsidRDefault="00467EBD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46B2A" w:rsidRPr="00273003" w:rsidRDefault="00467EBD" w:rsidP="00F236E7">
                  <w:pPr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467EB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intézmény az „Adatszolgáltatás a pedagógusmunkát közvetlenül segítők létszámáról a 2014. évi állami támogatások elszámolásához” című táblázatban a közalkalmazottak munkakörét, heti munkaidejét és a jogviszonyuk fennállását megfelelően szerepeltette.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7EBD" w:rsidRPr="00146B2A" w:rsidRDefault="00467EBD" w:rsidP="00467EBD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javaslatot nem fogalmazott meg.</w:t>
                  </w:r>
                </w:p>
                <w:p w:rsidR="00146B2A" w:rsidRPr="00716397" w:rsidRDefault="00146B2A" w:rsidP="00716397">
                  <w:pPr>
                    <w:suppressAutoHyphens/>
                    <w:ind w:left="1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BD5320" w:rsidRDefault="00256C2F" w:rsidP="00256C2F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pénzmaradvánnyal szemben beállított kötelezettségeket megfelelően alátámasztották.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az intézmény részére nem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tartalmazott</w:t>
                  </w: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</w:t>
            </w:r>
            <w:r w:rsidRPr="00F67268">
              <w:rPr>
                <w:rFonts w:eastAsia="Calibri"/>
                <w:lang w:val="hu-HU" w:eastAsia="en-US"/>
              </w:rPr>
              <w:lastRenderedPageBreak/>
              <w:t>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5C4591" w:rsidRPr="00956648" w:rsidRDefault="005C4591" w:rsidP="005C459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956648" w:rsidRDefault="00956648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lastRenderedPageBreak/>
              <w:t>A 2014. évben lefolytatott „</w:t>
            </w:r>
            <w:r w:rsidRPr="00C43E77">
              <w:rPr>
                <w:rFonts w:eastAsia="Calibri"/>
                <w:b/>
                <w:lang w:val="hu-HU" w:eastAsia="en-US"/>
              </w:rPr>
              <w:t>Belső Kontrollrendszer vizsgálata</w:t>
            </w:r>
            <w:r w:rsidRPr="00956648">
              <w:rPr>
                <w:rFonts w:eastAsia="Calibri"/>
                <w:lang w:val="hu-HU" w:eastAsia="en-US"/>
              </w:rPr>
              <w:t xml:space="preserve">” tárgyú ellenőrzési jelentésre </w:t>
            </w:r>
            <w:r>
              <w:rPr>
                <w:rFonts w:eastAsia="Calibri"/>
                <w:lang w:val="hu-HU" w:eastAsia="en-US"/>
              </w:rPr>
              <w:t xml:space="preserve">2015-ben </w:t>
            </w:r>
            <w:r w:rsidRPr="00956648">
              <w:rPr>
                <w:rFonts w:eastAsia="Calibri"/>
                <w:lang w:val="hu-HU" w:eastAsia="en-US"/>
              </w:rPr>
              <w:t>készített intézkedési tervben foglalt 8 db intézkedés végrehajtásáról szóló beszámolót - mely 2015-ben volt esedékes – nem készítették el.</w:t>
            </w:r>
          </w:p>
          <w:p w:rsidR="00C43E77" w:rsidRPr="00956648" w:rsidRDefault="00C43E77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4B708C" w:rsidRPr="00956648" w:rsidRDefault="004B708C" w:rsidP="004B708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>„</w:t>
            </w:r>
            <w:r w:rsidR="005C4591" w:rsidRPr="00956648">
              <w:rPr>
                <w:rFonts w:eastAsia="Calibri"/>
                <w:lang w:val="hu-HU" w:eastAsia="en-US"/>
              </w:rPr>
              <w:t xml:space="preserve">A </w:t>
            </w:r>
            <w:r w:rsidR="005C4591" w:rsidRPr="00C43E77">
              <w:rPr>
                <w:rFonts w:eastAsia="Calibri"/>
                <w:b/>
                <w:lang w:val="hu-HU" w:eastAsia="en-US"/>
              </w:rPr>
              <w:t>2014</w:t>
            </w:r>
            <w:r w:rsidR="00601EE9" w:rsidRPr="00C43E77">
              <w:rPr>
                <w:rFonts w:eastAsia="Calibri"/>
                <w:b/>
                <w:lang w:val="hu-HU" w:eastAsia="en-US"/>
              </w:rPr>
              <w:t>. évi étkezési kedvez</w:t>
            </w:r>
            <w:r w:rsidRPr="00C43E77">
              <w:rPr>
                <w:rFonts w:eastAsia="Calibri"/>
                <w:b/>
                <w:lang w:val="hu-HU" w:eastAsia="en-US"/>
              </w:rPr>
              <w:t>mény elszámolásának vizsgálata</w:t>
            </w:r>
            <w:r w:rsidRPr="00956648">
              <w:rPr>
                <w:rFonts w:eastAsia="Calibri"/>
                <w:lang w:val="hu-HU" w:eastAsia="en-US"/>
              </w:rPr>
              <w:t xml:space="preserve">” tárgyú </w:t>
            </w:r>
            <w:r w:rsidR="007E6C6E">
              <w:rPr>
                <w:rFonts w:eastAsia="Calibri"/>
                <w:lang w:val="hu-HU" w:eastAsia="en-US"/>
              </w:rPr>
              <w:t xml:space="preserve">2015. évi </w:t>
            </w:r>
            <w:r w:rsidRPr="00956648">
              <w:rPr>
                <w:rFonts w:eastAsia="Calibri"/>
                <w:lang w:val="hu-HU" w:eastAsia="en-US"/>
              </w:rPr>
              <w:t xml:space="preserve">ellenőrzési jelentésre </w:t>
            </w:r>
            <w:r w:rsidR="00B0591C" w:rsidRPr="00956648">
              <w:rPr>
                <w:rFonts w:eastAsia="Calibri"/>
                <w:lang w:val="hu-HU" w:eastAsia="en-US"/>
              </w:rPr>
              <w:t>készített</w:t>
            </w:r>
            <w:r w:rsidRPr="00956648">
              <w:rPr>
                <w:rFonts w:eastAsia="Calibri"/>
                <w:lang w:val="hu-HU" w:eastAsia="en-US"/>
              </w:rPr>
              <w:t xml:space="preserve"> intézkedési terv 2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601EE9" w:rsidRPr="00956648" w:rsidRDefault="00601EE9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F67268" w:rsidRDefault="00F67268" w:rsidP="00320B4D"/>
    <w:p w:rsidR="00F236E7" w:rsidRDefault="00F236E7" w:rsidP="00320B4D"/>
    <w:p w:rsidR="00F236E7" w:rsidRDefault="00F236E7" w:rsidP="00320B4D"/>
    <w:p w:rsidR="00F236E7" w:rsidRPr="00F67268" w:rsidRDefault="00F236E7" w:rsidP="00320B4D"/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67268" w:rsidRDefault="00F67268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Default="00F236E7" w:rsidP="00F67268">
      <w:pPr>
        <w:rPr>
          <w:lang w:val="hu-HU"/>
        </w:rPr>
      </w:pPr>
    </w:p>
    <w:p w:rsidR="00F236E7" w:rsidRPr="000F11B0" w:rsidRDefault="00F236E7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ED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0F" w:rsidRDefault="0081390F" w:rsidP="00F410F1">
      <w:r>
        <w:separator/>
      </w:r>
    </w:p>
  </w:endnote>
  <w:endnote w:type="continuationSeparator" w:id="0">
    <w:p w:rsidR="0081390F" w:rsidRDefault="0081390F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Default="00ED68D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Default="00ED68D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Default="00ED68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0F" w:rsidRDefault="0081390F" w:rsidP="00F410F1">
      <w:r>
        <w:separator/>
      </w:r>
    </w:p>
  </w:footnote>
  <w:footnote w:type="continuationSeparator" w:id="0">
    <w:p w:rsidR="0081390F" w:rsidRDefault="0081390F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Default="00ED68D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D1" w:rsidRPr="00ED68D1" w:rsidRDefault="00ED68D1" w:rsidP="00ED68D1">
    <w:pPr>
      <w:pStyle w:val="lfej"/>
      <w:jc w:val="right"/>
      <w:rPr>
        <w:sz w:val="20"/>
        <w:szCs w:val="20"/>
        <w:lang w:val="hu-HU"/>
      </w:rPr>
    </w:pPr>
    <w:bookmarkStart w:id="0" w:name="_GoBack"/>
    <w:r w:rsidRPr="00ED68D1">
      <w:rPr>
        <w:sz w:val="20"/>
        <w:szCs w:val="20"/>
        <w:lang w:val="hu-HU"/>
      </w:rPr>
      <w:t>6. sz. melléklet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7309E"/>
    <w:rsid w:val="000746AA"/>
    <w:rsid w:val="00097EF6"/>
    <w:rsid w:val="000A4926"/>
    <w:rsid w:val="000C3D59"/>
    <w:rsid w:val="000F11B0"/>
    <w:rsid w:val="00137EEC"/>
    <w:rsid w:val="00146B2A"/>
    <w:rsid w:val="00172774"/>
    <w:rsid w:val="00175EE5"/>
    <w:rsid w:val="001A07D1"/>
    <w:rsid w:val="001A39E4"/>
    <w:rsid w:val="001C4270"/>
    <w:rsid w:val="001D0EEF"/>
    <w:rsid w:val="001F03EC"/>
    <w:rsid w:val="001F365F"/>
    <w:rsid w:val="00207A23"/>
    <w:rsid w:val="00215395"/>
    <w:rsid w:val="00256C2F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40385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822B2"/>
    <w:rsid w:val="00594D68"/>
    <w:rsid w:val="005B0B73"/>
    <w:rsid w:val="005B7068"/>
    <w:rsid w:val="005C4591"/>
    <w:rsid w:val="005C59B0"/>
    <w:rsid w:val="005D1FE4"/>
    <w:rsid w:val="005D2EFF"/>
    <w:rsid w:val="005F4730"/>
    <w:rsid w:val="00601EE9"/>
    <w:rsid w:val="00602D86"/>
    <w:rsid w:val="00656C58"/>
    <w:rsid w:val="006613B4"/>
    <w:rsid w:val="00675621"/>
    <w:rsid w:val="006A1F8C"/>
    <w:rsid w:val="006A30A8"/>
    <w:rsid w:val="00716397"/>
    <w:rsid w:val="00717592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1390F"/>
    <w:rsid w:val="00853F6E"/>
    <w:rsid w:val="0085796B"/>
    <w:rsid w:val="008607FC"/>
    <w:rsid w:val="00864BA0"/>
    <w:rsid w:val="008A591E"/>
    <w:rsid w:val="008D691C"/>
    <w:rsid w:val="008E4989"/>
    <w:rsid w:val="00927303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A10EF5"/>
    <w:rsid w:val="00A1352C"/>
    <w:rsid w:val="00A2066F"/>
    <w:rsid w:val="00A3181A"/>
    <w:rsid w:val="00A3678A"/>
    <w:rsid w:val="00A54E1B"/>
    <w:rsid w:val="00A567A3"/>
    <w:rsid w:val="00A57810"/>
    <w:rsid w:val="00A57926"/>
    <w:rsid w:val="00A74800"/>
    <w:rsid w:val="00A9147D"/>
    <w:rsid w:val="00AC6F83"/>
    <w:rsid w:val="00B0591C"/>
    <w:rsid w:val="00B11FE2"/>
    <w:rsid w:val="00B223A8"/>
    <w:rsid w:val="00B64D14"/>
    <w:rsid w:val="00B907B3"/>
    <w:rsid w:val="00B912E2"/>
    <w:rsid w:val="00BD5320"/>
    <w:rsid w:val="00BE420A"/>
    <w:rsid w:val="00BE4DB0"/>
    <w:rsid w:val="00C11520"/>
    <w:rsid w:val="00C142B0"/>
    <w:rsid w:val="00C43E77"/>
    <w:rsid w:val="00C635BE"/>
    <w:rsid w:val="00C63CAD"/>
    <w:rsid w:val="00C92E3D"/>
    <w:rsid w:val="00CD4BC0"/>
    <w:rsid w:val="00D02D25"/>
    <w:rsid w:val="00D22010"/>
    <w:rsid w:val="00D23BAB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D68D1"/>
    <w:rsid w:val="00EF5A6D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F547-DBFB-41D6-A846-8FA71845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8211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3</cp:revision>
  <cp:lastPrinted>2015-03-26T09:13:00Z</cp:lastPrinted>
  <dcterms:created xsi:type="dcterms:W3CDTF">2016-03-03T13:26:00Z</dcterms:created>
  <dcterms:modified xsi:type="dcterms:W3CDTF">2016-03-29T12:46:00Z</dcterms:modified>
</cp:coreProperties>
</file>