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642A0" w:rsidP="008209B2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KMJV Polgármesteri Hivatal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D642A0" w:rsidP="00D642A0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Hivatal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D642A0" w:rsidRPr="00F67268" w:rsidTr="00ED267F">
              <w:tc>
                <w:tcPr>
                  <w:tcW w:w="2193" w:type="dxa"/>
                </w:tcPr>
                <w:p w:rsidR="00D642A0" w:rsidRDefault="00D642A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* Közbeszerzések közzététele, információbiztonság</w:t>
                  </w:r>
                </w:p>
              </w:tc>
              <w:tc>
                <w:tcPr>
                  <w:tcW w:w="3589" w:type="dxa"/>
                </w:tcPr>
                <w:p w:rsidR="00D642A0" w:rsidRPr="00956648" w:rsidRDefault="00D642A0" w:rsidP="00D642A0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Annak megállapítása, hogy a közzétételi és információbiztonsági előírásokat betartották-e.</w:t>
                  </w:r>
                </w:p>
              </w:tc>
              <w:tc>
                <w:tcPr>
                  <w:tcW w:w="4167" w:type="dxa"/>
                </w:tcPr>
                <w:p w:rsidR="00D642A0" w:rsidRPr="00956648" w:rsidRDefault="00D642A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D642A0" w:rsidRPr="00F67268" w:rsidTr="00ED267F">
              <w:tc>
                <w:tcPr>
                  <w:tcW w:w="2193" w:type="dxa"/>
                </w:tcPr>
                <w:p w:rsidR="00D642A0" w:rsidRDefault="00D642A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* Az anyakönyvi el</w:t>
                  </w:r>
                  <w:r w:rsidR="00CB6B2E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járásokért fizetett illeték lero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vásának utóvizsgálata</w:t>
                  </w:r>
                </w:p>
              </w:tc>
              <w:tc>
                <w:tcPr>
                  <w:tcW w:w="3589" w:type="dxa"/>
                </w:tcPr>
                <w:p w:rsidR="00D642A0" w:rsidRPr="00956648" w:rsidRDefault="00CB6B2E" w:rsidP="00D642A0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Annak megállapítása, hogy az anyakönyvi eljárások során az illetékbélyegek értéktelenítése szabályosan történt-e, továbbá az anyakönyvi eljárások folyamatba épített vezetői ellenőrzése megtörtént-e.</w:t>
                  </w:r>
                </w:p>
              </w:tc>
              <w:tc>
                <w:tcPr>
                  <w:tcW w:w="4167" w:type="dxa"/>
                </w:tcPr>
                <w:p w:rsidR="00D642A0" w:rsidRPr="00956648" w:rsidRDefault="00D642A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D642A0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* 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062AD6" w:rsidRPr="00F67268" w:rsidTr="00754A0E">
              <w:tc>
                <w:tcPr>
                  <w:tcW w:w="2193" w:type="dxa"/>
                </w:tcPr>
                <w:p w:rsidR="00062AD6" w:rsidRPr="00956648" w:rsidRDefault="00062AD6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** Az ingatlanvagyon nyilvántartásának utóvizsgálata</w:t>
                  </w:r>
                  <w:bookmarkStart w:id="0" w:name="_GoBack"/>
                  <w:bookmarkEnd w:id="0"/>
                </w:p>
              </w:tc>
              <w:tc>
                <w:tcPr>
                  <w:tcW w:w="3589" w:type="dxa"/>
                </w:tcPr>
                <w:p w:rsidR="00062AD6" w:rsidRPr="00956648" w:rsidRDefault="00062AD6" w:rsidP="00062AD6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</w:t>
                  </w:r>
                  <w:r>
                    <w:rPr>
                      <w:sz w:val="20"/>
                      <w:szCs w:val="20"/>
                      <w:lang w:val="hu-HU"/>
                    </w:rPr>
                    <w:t>önkormányzatok tulajdonában lévő ingatlanvagyon nyilvántartási és adatszolgáltatási rendjéről szóló 147/1992. (XI.6.) Korm. rendelet előírásainak megfelelően jártak-e el.</w:t>
                  </w:r>
                </w:p>
              </w:tc>
              <w:tc>
                <w:tcPr>
                  <w:tcW w:w="4167" w:type="dxa"/>
                </w:tcPr>
                <w:p w:rsidR="00062AD6" w:rsidRPr="00956648" w:rsidRDefault="00062AD6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062AD6" w:rsidRPr="00F67268" w:rsidTr="00754A0E">
              <w:tc>
                <w:tcPr>
                  <w:tcW w:w="2193" w:type="dxa"/>
                </w:tcPr>
                <w:p w:rsidR="00062AD6" w:rsidRDefault="00062AD6" w:rsidP="00062AD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*** EU-s pályázatok vizsgálata</w:t>
                  </w:r>
                </w:p>
              </w:tc>
              <w:tc>
                <w:tcPr>
                  <w:tcW w:w="3589" w:type="dxa"/>
                </w:tcPr>
                <w:p w:rsidR="00062AD6" w:rsidRPr="00956648" w:rsidRDefault="00062AD6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az EU-s pályázatok elszámolása szabályszerű volt-e.</w:t>
                  </w:r>
                </w:p>
              </w:tc>
              <w:tc>
                <w:tcPr>
                  <w:tcW w:w="4167" w:type="dxa"/>
                </w:tcPr>
                <w:p w:rsidR="00062AD6" w:rsidRPr="00956648" w:rsidRDefault="00062AD6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CB6B2E" w:rsidRDefault="00CB6B2E" w:rsidP="00656C58">
            <w:pPr>
              <w:rPr>
                <w:rFonts w:eastAsia="Calibri"/>
                <w:lang w:val="hu-HU" w:eastAsia="en-US"/>
              </w:rPr>
            </w:pPr>
          </w:p>
          <w:p w:rsidR="003B75B7" w:rsidRDefault="00CB6B2E" w:rsidP="00656C5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*</w:t>
            </w:r>
            <w:r w:rsidR="009F65CC">
              <w:rPr>
                <w:rFonts w:eastAsia="Calibri"/>
                <w:lang w:val="hu-HU" w:eastAsia="en-US"/>
              </w:rPr>
              <w:t xml:space="preserve"> </w:t>
            </w:r>
            <w:r w:rsidR="003B75B7"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  <w:p w:rsidR="00CB6B2E" w:rsidRDefault="00CB6B2E" w:rsidP="00656C5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*</w:t>
            </w:r>
            <w:r w:rsidR="009F65CC">
              <w:rPr>
                <w:rFonts w:eastAsia="Calibri"/>
                <w:lang w:val="hu-HU" w:eastAsia="en-US"/>
              </w:rPr>
              <w:t xml:space="preserve">* </w:t>
            </w:r>
            <w:r>
              <w:rPr>
                <w:rFonts w:eastAsia="Calibri"/>
                <w:lang w:val="hu-HU" w:eastAsia="en-US"/>
              </w:rPr>
              <w:t>Munkaterven felüli, soron kívüli ellenőrzés.</w:t>
            </w:r>
          </w:p>
          <w:p w:rsidR="00062AD6" w:rsidRPr="00F67268" w:rsidRDefault="00062AD6" w:rsidP="001017E8">
            <w:pPr>
              <w:jc w:val="both"/>
              <w:rPr>
                <w:lang w:val="hu-HU"/>
              </w:rPr>
            </w:pPr>
            <w:r>
              <w:rPr>
                <w:rFonts w:eastAsia="Calibri"/>
                <w:lang w:val="hu-HU" w:eastAsia="en-US"/>
              </w:rPr>
              <w:t>*** Az ellenőrzés 2015. évben el</w:t>
            </w:r>
            <w:r w:rsidR="001017E8">
              <w:rPr>
                <w:rFonts w:eastAsia="Calibri"/>
                <w:lang w:val="hu-HU" w:eastAsia="en-US"/>
              </w:rPr>
              <w:t>kezdődött, de a jelentés</w:t>
            </w:r>
            <w:r>
              <w:rPr>
                <w:rFonts w:eastAsia="Calibri"/>
                <w:lang w:val="hu-HU" w:eastAsia="en-US"/>
              </w:rPr>
              <w:t xml:space="preserve"> elkés</w:t>
            </w:r>
            <w:r w:rsidR="001017E8">
              <w:rPr>
                <w:rFonts w:eastAsia="Calibri"/>
                <w:lang w:val="hu-HU" w:eastAsia="en-US"/>
              </w:rPr>
              <w:t xml:space="preserve">zítése az ellenőrök létszámának </w:t>
            </w:r>
            <w:r>
              <w:rPr>
                <w:rFonts w:eastAsia="Calibri"/>
                <w:lang w:val="hu-HU" w:eastAsia="en-US"/>
              </w:rPr>
              <w:t>csökkenése miatt 2016. évre áthúzódott.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656C58" w:rsidRDefault="0089357D" w:rsidP="0089357D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Ellenőrzési Iroda létszáma év közben 5 főről 3 főre csökkent. 1 státusz megszüntetésre került, 1 álláshelyet pedig a 2015. évben nem sikerült betölteni.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111"/>
            </w:tblGrid>
            <w:tr w:rsidR="008209B2" w:rsidRPr="00F67268" w:rsidTr="00DE4236">
              <w:tc>
                <w:tcPr>
                  <w:tcW w:w="4678" w:type="dxa"/>
                  <w:shd w:val="clear" w:color="auto" w:fill="D9D9D9"/>
                </w:tcPr>
                <w:p w:rsidR="008209B2" w:rsidRPr="00F67268" w:rsidRDefault="008209B2" w:rsidP="008209B2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:rsidR="008209B2" w:rsidRPr="00F67268" w:rsidRDefault="008209B2" w:rsidP="008209B2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8209B2" w:rsidRPr="00F67268" w:rsidTr="00DE4236">
              <w:tc>
                <w:tcPr>
                  <w:tcW w:w="4678" w:type="dxa"/>
                </w:tcPr>
                <w:p w:rsidR="008209B2" w:rsidRPr="00E83782" w:rsidRDefault="0089357D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E8378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Konyhák leltározása az átadást megelőzően</w:t>
                  </w:r>
                </w:p>
              </w:tc>
              <w:tc>
                <w:tcPr>
                  <w:tcW w:w="4111" w:type="dxa"/>
                </w:tcPr>
                <w:p w:rsidR="008209B2" w:rsidRPr="00E83782" w:rsidRDefault="00EB2EC2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E8378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konyhákról szabályos leltárt vettek fel.</w:t>
                  </w:r>
                </w:p>
              </w:tc>
            </w:tr>
            <w:tr w:rsidR="008209B2" w:rsidRPr="00F67268" w:rsidTr="00DE4236">
              <w:tc>
                <w:tcPr>
                  <w:tcW w:w="4678" w:type="dxa"/>
                  <w:vAlign w:val="center"/>
                </w:tcPr>
                <w:p w:rsidR="008209B2" w:rsidRPr="00E83782" w:rsidRDefault="0089357D" w:rsidP="008209B2">
                  <w:pPr>
                    <w:rPr>
                      <w:iCs/>
                      <w:sz w:val="20"/>
                      <w:szCs w:val="20"/>
                      <w:lang w:val="hu-HU"/>
                    </w:rPr>
                  </w:pPr>
                  <w:proofErr w:type="spellStart"/>
                  <w:r w:rsidRPr="00E83782">
                    <w:rPr>
                      <w:iCs/>
                      <w:sz w:val="20"/>
                      <w:szCs w:val="20"/>
                      <w:lang w:val="hu-HU"/>
                    </w:rPr>
                    <w:t>SzocioNet</w:t>
                  </w:r>
                  <w:proofErr w:type="spellEnd"/>
                  <w:r w:rsidRPr="00E83782">
                    <w:rPr>
                      <w:iCs/>
                      <w:sz w:val="20"/>
                      <w:szCs w:val="20"/>
                      <w:lang w:val="hu-HU"/>
                    </w:rPr>
                    <w:t xml:space="preserve"> többletigényének valódisága</w:t>
                  </w:r>
                </w:p>
              </w:tc>
              <w:tc>
                <w:tcPr>
                  <w:tcW w:w="4111" w:type="dxa"/>
                </w:tcPr>
                <w:p w:rsidR="008209B2" w:rsidRPr="00E83782" w:rsidRDefault="00E83782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E8378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Gyermekjóléti központtal kapcsolatos többletigény egyeztetése.</w:t>
                  </w:r>
                </w:p>
              </w:tc>
            </w:tr>
            <w:tr w:rsidR="008209B2" w:rsidRPr="00F67268" w:rsidTr="00DE4236">
              <w:tc>
                <w:tcPr>
                  <w:tcW w:w="4678" w:type="dxa"/>
                </w:tcPr>
                <w:p w:rsidR="008209B2" w:rsidRPr="00E83782" w:rsidRDefault="0089357D" w:rsidP="008209B2">
                  <w:pPr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E8378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Berzsenyi tagiskola</w:t>
                  </w:r>
                  <w:r w:rsidR="00CA4955" w:rsidRPr="00E8378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– bevétel jogosultja</w:t>
                  </w:r>
                </w:p>
              </w:tc>
              <w:tc>
                <w:tcPr>
                  <w:tcW w:w="4111" w:type="dxa"/>
                </w:tcPr>
                <w:p w:rsidR="008209B2" w:rsidRPr="00E83782" w:rsidRDefault="00EB2EC2" w:rsidP="00EB2EC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E8378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Tájékoztató levél elkészült.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6336B4">
        <w:trPr>
          <w:trHeight w:val="1134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0"/>
              <w:gridCol w:w="3756"/>
              <w:gridCol w:w="3622"/>
            </w:tblGrid>
            <w:tr w:rsidR="007427E8" w:rsidRPr="0044525D" w:rsidTr="008100E8">
              <w:trPr>
                <w:trHeight w:val="242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8100E8">
              <w:trPr>
                <w:trHeight w:val="871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D642A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ingatlanvagyon nyilvántartásának utóvizsgálata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52404" w:rsidRPr="00852404" w:rsidRDefault="00852404" w:rsidP="0085240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852404">
                    <w:rPr>
                      <w:sz w:val="20"/>
                      <w:szCs w:val="20"/>
                      <w:lang w:val="hu-HU"/>
                    </w:rPr>
                    <w:t>Az ingatlanvagyon-kataszter nyilvántartás összes bruttó értéke kevesebb, mint a gazdálkodó szervek és intézmények által nyilvántartott bruttó érték.</w:t>
                  </w:r>
                </w:p>
                <w:p w:rsidR="00537D1F" w:rsidRPr="00277B9B" w:rsidRDefault="00852404" w:rsidP="0085240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0"/>
                      <w:szCs w:val="20"/>
                      <w:lang w:val="hu-HU"/>
                    </w:rPr>
                  </w:pPr>
                  <w:r w:rsidRPr="00852404">
                    <w:rPr>
                      <w:sz w:val="20"/>
                      <w:szCs w:val="20"/>
                      <w:lang w:val="hu-HU"/>
                    </w:rPr>
                    <w:t>Az eltérések ellenére a vizsgálat során azt tapasztaltuk, hogy a nyilvántartás áttekinthetőbb és egyeztethetőbb, kevesebb a „hibás” kezelő. A korábbi évhez viszonyítva nagy javulást tapasztaltunk.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1751" w:rsidRPr="00D642A0" w:rsidRDefault="00D642A0" w:rsidP="008209B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D642A0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</w:t>
                  </w: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ok</w:t>
                  </w:r>
                  <w:r w:rsidRPr="00D642A0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:</w:t>
                  </w:r>
                </w:p>
                <w:p w:rsidR="00852404" w:rsidRPr="00852404" w:rsidRDefault="00852404" w:rsidP="00852404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285" w:hanging="29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852404">
                    <w:rPr>
                      <w:sz w:val="20"/>
                      <w:szCs w:val="20"/>
                      <w:lang w:val="hu-HU"/>
                    </w:rPr>
                    <w:t xml:space="preserve">Az indokolt eltéréseket pontosan mutassák ki, melynek figyelembe vételével biztosítsák az egyezőséget. </w:t>
                  </w:r>
                </w:p>
                <w:p w:rsidR="00852404" w:rsidRPr="00852404" w:rsidRDefault="00852404" w:rsidP="00852404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285" w:hanging="29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852404">
                    <w:rPr>
                      <w:sz w:val="20"/>
                      <w:szCs w:val="20"/>
                      <w:lang w:val="hu-HU"/>
                    </w:rPr>
                    <w:t>A vagyonkataszteri nyilvántartás folyamatos vezetése érdekében olyan rendszert dolgozzanak ki, amelyben év közben a kezelők a változásról küldenek adatot és az év végi állapot tételesen egyeztethető.</w:t>
                  </w:r>
                </w:p>
                <w:p w:rsidR="007427E8" w:rsidRPr="00273003" w:rsidRDefault="007427E8" w:rsidP="0032175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CA4955" w:rsidRPr="007F0BD3" w:rsidTr="008100E8">
              <w:trPr>
                <w:trHeight w:val="871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4955" w:rsidRPr="002770DA" w:rsidRDefault="00CA4955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70D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Közbeszerzések közzététele, információbiztonság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0A89" w:rsidRDefault="00150A89" w:rsidP="00150A8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150A89">
                    <w:rPr>
                      <w:sz w:val="20"/>
                      <w:szCs w:val="20"/>
                      <w:lang w:val="hu-HU"/>
                    </w:rPr>
                    <w:t>A jogszabályi előírásoknak megfelelően a közzétételi li</w:t>
                  </w:r>
                  <w:r>
                    <w:rPr>
                      <w:sz w:val="20"/>
                      <w:szCs w:val="20"/>
                      <w:lang w:val="hu-HU"/>
                    </w:rPr>
                    <w:t>sták által előírt adatokat</w:t>
                  </w:r>
                  <w:r w:rsidRPr="00150A89">
                    <w:rPr>
                      <w:sz w:val="20"/>
                      <w:szCs w:val="20"/>
                      <w:lang w:val="hu-HU"/>
                    </w:rPr>
                    <w:t xml:space="preserve"> az Önkormányzat 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honlapján </w:t>
                  </w:r>
                  <w:r w:rsidRPr="00150A89">
                    <w:rPr>
                      <w:sz w:val="20"/>
                      <w:szCs w:val="20"/>
                      <w:lang w:val="hu-HU"/>
                    </w:rPr>
                    <w:t xml:space="preserve">közzétették. </w:t>
                  </w:r>
                </w:p>
                <w:p w:rsidR="00150A89" w:rsidRPr="00150A89" w:rsidRDefault="00150A89" w:rsidP="00150A8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150A89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proofErr w:type="spellStart"/>
                  <w:r w:rsidRPr="00150A89">
                    <w:rPr>
                      <w:sz w:val="20"/>
                      <w:szCs w:val="20"/>
                      <w:lang w:val="hu-HU"/>
                    </w:rPr>
                    <w:t>Kbtv</w:t>
                  </w:r>
                  <w:proofErr w:type="spellEnd"/>
                  <w:r w:rsidRPr="00150A89">
                    <w:rPr>
                      <w:sz w:val="20"/>
                      <w:szCs w:val="20"/>
                      <w:lang w:val="hu-HU"/>
                    </w:rPr>
                    <w:t>. 31. §</w:t>
                  </w:r>
                  <w:proofErr w:type="spellStart"/>
                  <w:r w:rsidRPr="00150A89">
                    <w:rPr>
                      <w:sz w:val="20"/>
                      <w:szCs w:val="20"/>
                      <w:lang w:val="hu-HU"/>
                    </w:rPr>
                    <w:t>-</w:t>
                  </w:r>
                  <w:proofErr w:type="gramStart"/>
                  <w:r w:rsidRPr="00150A89">
                    <w:rPr>
                      <w:sz w:val="20"/>
                      <w:szCs w:val="20"/>
                      <w:lang w:val="hu-HU"/>
                    </w:rPr>
                    <w:t>a</w:t>
                  </w:r>
                  <w:proofErr w:type="spellEnd"/>
                  <w:proofErr w:type="gramEnd"/>
                  <w:r w:rsidRPr="00150A89">
                    <w:rPr>
                      <w:sz w:val="20"/>
                      <w:szCs w:val="20"/>
                      <w:lang w:val="hu-HU"/>
                    </w:rPr>
                    <w:t xml:space="preserve"> alapján a közbeszerzési tervet, a közbeszerzési eljárás alapján megkötött szerződéseket, a szerződés teljesítésére vonatkozó adatokat és az éves statisztikai összegzést közzétették, azonban a közzétételek nem az előírt határidőn belül történtek meg.</w:t>
                  </w:r>
                </w:p>
                <w:p w:rsidR="00150A89" w:rsidRPr="00150A89" w:rsidRDefault="00150A89" w:rsidP="00150A8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150A89">
                    <w:rPr>
                      <w:sz w:val="20"/>
                      <w:szCs w:val="20"/>
                      <w:lang w:val="hu-HU"/>
                    </w:rPr>
                    <w:t>Kaposvár város közterületein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 lévő kamerák</w:t>
                  </w:r>
                  <w:r w:rsidRPr="00150A89">
                    <w:rPr>
                      <w:sz w:val="20"/>
                      <w:szCs w:val="20"/>
                      <w:lang w:val="hu-H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elhelyezését a </w:t>
                  </w:r>
                  <w:r w:rsidRPr="00150A89">
                    <w:rPr>
                      <w:sz w:val="20"/>
                      <w:szCs w:val="20"/>
                      <w:lang w:val="hu-HU"/>
                    </w:rPr>
                    <w:t>Polgármesteri Hivatalának honlapján közzétették. A figyelemfelhívó táblákat a képfelvevők elhelyezéséről, az adatkezelés tényéről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 elhelyezték. </w:t>
                  </w:r>
                  <w:r w:rsidRPr="00150A89">
                    <w:rPr>
                      <w:sz w:val="20"/>
                      <w:szCs w:val="20"/>
                      <w:lang w:val="hu-HU"/>
                    </w:rPr>
                    <w:t xml:space="preserve">A kamerarendszer adatvédelmi bejelentése a NAIH felé megtörtént. </w:t>
                  </w:r>
                </w:p>
                <w:p w:rsidR="003E14BC" w:rsidRPr="003E14BC" w:rsidRDefault="003E14BC" w:rsidP="00150A8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3E14BC">
                    <w:rPr>
                      <w:sz w:val="20"/>
                      <w:szCs w:val="20"/>
                      <w:lang w:val="hu-HU"/>
                    </w:rPr>
                    <w:t>A Hivatal területén 12 db kamera üzemel. A kamerák működését, figyelését, a felvételek törlését nem szabályozták. A képfelvevők elhelyezéséről, az adatkezelés tényéről figyelemfelhívó jelzés nem került kihelyezésre.</w:t>
                  </w:r>
                </w:p>
                <w:p w:rsidR="00CA4955" w:rsidRPr="002770DA" w:rsidRDefault="00150A89" w:rsidP="006336B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3E14BC">
                    <w:rPr>
                      <w:sz w:val="20"/>
                      <w:szCs w:val="20"/>
                      <w:lang w:val="hu-HU"/>
                    </w:rPr>
                    <w:t>A Hivatal garázsában és a Teleki kapunál lévő kamerák bejelentése nem történt meg.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770DA" w:rsidRPr="00D642A0" w:rsidRDefault="002770DA" w:rsidP="002770DA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D642A0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</w:t>
                  </w: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ok</w:t>
                  </w:r>
                  <w:r w:rsidRPr="00D642A0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:</w:t>
                  </w:r>
                </w:p>
                <w:p w:rsidR="002770DA" w:rsidRPr="002770DA" w:rsidRDefault="002770DA" w:rsidP="002770DA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70D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Hivatal területén működő kamerák adatvédelmi bejelentése történjen meg a NAIH felé.</w:t>
                  </w:r>
                </w:p>
                <w:p w:rsidR="002770DA" w:rsidRPr="002770DA" w:rsidRDefault="002770DA" w:rsidP="002770DA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70D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Hivatal területén lévő kamerák által megfigyelt területre belépő személyek tájékoztatására szolgáló figyelemfelhívó táblákat helyezzenek ki a képfelvevők elhelyezéséről, az adatkezelés tényéről.</w:t>
                  </w:r>
                </w:p>
                <w:p w:rsidR="002770DA" w:rsidRPr="002770DA" w:rsidRDefault="002770DA" w:rsidP="002770DA">
                  <w:pPr>
                    <w:pStyle w:val="Listaszerbekezds"/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852404"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proofErr w:type="spellStart"/>
                  <w:r w:rsidRPr="00852404">
                    <w:rPr>
                      <w:sz w:val="20"/>
                      <w:szCs w:val="20"/>
                      <w:lang w:val="hu-HU"/>
                    </w:rPr>
                    <w:t>Kbtv</w:t>
                  </w:r>
                  <w:proofErr w:type="spellEnd"/>
                  <w:r w:rsidRPr="00852404">
                    <w:rPr>
                      <w:sz w:val="20"/>
                      <w:szCs w:val="20"/>
                      <w:lang w:val="hu-HU"/>
                    </w:rPr>
                    <w:t>. 31. §</w:t>
                  </w:r>
                  <w:proofErr w:type="spellStart"/>
                  <w:r w:rsidRPr="00852404">
                    <w:rPr>
                      <w:sz w:val="20"/>
                      <w:szCs w:val="20"/>
                      <w:lang w:val="hu-HU"/>
                    </w:rPr>
                    <w:t>-ában</w:t>
                  </w:r>
                  <w:proofErr w:type="spellEnd"/>
                  <w:r w:rsidRPr="00852404">
                    <w:rPr>
                      <w:sz w:val="20"/>
                      <w:szCs w:val="20"/>
                      <w:lang w:val="hu-HU"/>
                    </w:rPr>
                    <w:t xml:space="preserve"> előírt közzétételi határidőket tartsák be</w:t>
                  </w:r>
                  <w:r w:rsidRPr="002770DA">
                    <w:rPr>
                      <w:sz w:val="20"/>
                      <w:szCs w:val="20"/>
                    </w:rPr>
                    <w:t>.</w:t>
                  </w:r>
                </w:p>
                <w:p w:rsidR="00CA4955" w:rsidRPr="00D642A0" w:rsidRDefault="00CA4955" w:rsidP="008209B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CA4955" w:rsidRPr="007F0BD3" w:rsidTr="008100E8">
              <w:trPr>
                <w:trHeight w:val="871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4955" w:rsidRDefault="00CA4955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Az anyakönyvi eljárásokért fizetett illeték lerovásának utóvizsgálata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14BC" w:rsidRPr="003E14BC" w:rsidRDefault="003E14BC" w:rsidP="003E14B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3E14BC">
                    <w:rPr>
                      <w:sz w:val="20"/>
                      <w:szCs w:val="20"/>
                      <w:lang w:val="hu-HU"/>
                    </w:rPr>
                    <w:t xml:space="preserve">Az eljárásokat az anyakönyvvezetők a szükséges esetekben illetékkötelesként folytatták le. Az ellenőrzött 162 illetékköteles eljárásból az illetékbélyegek értéktelenítése 145 esetben szabályosan történt. 17 esetben az illetékbélyegek értéktelenítésekor </w:t>
                  </w:r>
                  <w:r w:rsidRPr="003E14BC">
                    <w:rPr>
                      <w:bCs/>
                      <w:sz w:val="20"/>
                      <w:szCs w:val="20"/>
                      <w:lang w:val="hu-HU"/>
                    </w:rPr>
                    <w:t>az anyakönyvvezetők az illetéktörvény 75. § (3) bekezdésben foglaltakat</w:t>
                  </w:r>
                  <w:r w:rsidRPr="003E14BC">
                    <w:rPr>
                      <w:sz w:val="20"/>
                      <w:szCs w:val="20"/>
                      <w:lang w:val="hu-HU"/>
                    </w:rPr>
                    <w:t xml:space="preserve"> nem tartották be.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 </w:t>
                  </w:r>
                  <w:r w:rsidRPr="003E14BC">
                    <w:rPr>
                      <w:sz w:val="20"/>
                      <w:szCs w:val="20"/>
                      <w:lang w:val="hu-HU"/>
                    </w:rPr>
                    <w:t>Korábban már felhasznált bélyeg ismételt értéktelenítése, azaz „dupla értéktelenítés” a vizsgált időszakban nem történt.</w:t>
                  </w:r>
                </w:p>
                <w:p w:rsidR="00CA4955" w:rsidRPr="00277B9B" w:rsidRDefault="00CA4955" w:rsidP="00C115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14BC" w:rsidRPr="00146B2A" w:rsidRDefault="003E14BC" w:rsidP="003E14BC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kiemelt jelentőségű javaslatot nem tartalmazott.</w:t>
                  </w:r>
                </w:p>
                <w:p w:rsidR="00CA4955" w:rsidRPr="00D642A0" w:rsidRDefault="00CA4955" w:rsidP="008209B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754A0E" w:rsidRPr="0044525D" w:rsidTr="008100E8">
              <w:trPr>
                <w:trHeight w:val="485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Default="00BE1731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="006336B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Hivatal pénzmaradványával</w:t>
                  </w: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szemben beállított kötelezettségeket megfelelően alátámasztották.</w:t>
                  </w:r>
                </w:p>
                <w:p w:rsidR="008100E8" w:rsidRPr="00277B9B" w:rsidRDefault="008100E8" w:rsidP="00146B2A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</w:t>
                  </w:r>
                  <w:r w:rsidR="00B33C0E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kiemelt jelentőségű</w:t>
                  </w:r>
                  <w:r w:rsidR="00D642A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 nem tartalmazott.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8100E8" w:rsidRPr="00F67268" w:rsidRDefault="008100E8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lang w:val="hu-HU" w:eastAsia="en-US"/>
              </w:rPr>
            </w:pPr>
          </w:p>
          <w:p w:rsidR="006336B4" w:rsidRPr="00F67268" w:rsidRDefault="006336B4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8100E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D7291" w:rsidRDefault="002C0F33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t xml:space="preserve">A </w:t>
            </w:r>
            <w:r w:rsidRPr="005D67C5">
              <w:rPr>
                <w:rFonts w:eastAsia="Calibri"/>
                <w:b/>
                <w:lang w:val="hu-HU" w:eastAsia="en-US"/>
              </w:rPr>
              <w:t>leltározás vizsgálata</w:t>
            </w:r>
            <w:r w:rsidRPr="002F55ED">
              <w:rPr>
                <w:rFonts w:eastAsia="Calibri"/>
                <w:lang w:val="hu-HU" w:eastAsia="en-US"/>
              </w:rPr>
              <w:t xml:space="preserve"> tárgyában 2014. évben lefolytatott ellenőrzéssel kapcsolatosan 2015-ben készített intézkedési terv 6 db intézkedést tartalmazott. </w:t>
            </w:r>
            <w:r w:rsidR="001D7291" w:rsidRPr="002F55ED">
              <w:rPr>
                <w:rFonts w:eastAsia="Calibri"/>
                <w:lang w:val="hu-HU" w:eastAsia="en-US"/>
              </w:rPr>
              <w:t xml:space="preserve">2015-ben </w:t>
            </w:r>
            <w:r w:rsidR="005D67C5">
              <w:rPr>
                <w:rFonts w:eastAsia="Calibri"/>
                <w:lang w:val="hu-HU" w:eastAsia="en-US"/>
              </w:rPr>
              <w:t>5</w:t>
            </w:r>
            <w:r w:rsidRPr="002F55ED">
              <w:rPr>
                <w:rFonts w:eastAsia="Calibri"/>
                <w:lang w:val="hu-HU" w:eastAsia="en-US"/>
              </w:rPr>
              <w:t xml:space="preserve"> intézkedés</w:t>
            </w:r>
            <w:r w:rsidR="001D7291" w:rsidRPr="002F55ED">
              <w:rPr>
                <w:rFonts w:eastAsia="Calibri"/>
                <w:lang w:val="hu-HU" w:eastAsia="en-US"/>
              </w:rPr>
              <w:t>t hajtottak végre. 1 intézkedés végrehajt</w:t>
            </w:r>
            <w:r w:rsidR="005D67C5">
              <w:rPr>
                <w:rFonts w:eastAsia="Calibri"/>
                <w:lang w:val="hu-HU" w:eastAsia="en-US"/>
              </w:rPr>
              <w:t>ási határideje 2016-ra módosult</w:t>
            </w:r>
            <w:r w:rsidR="001D7291" w:rsidRPr="002F55ED">
              <w:rPr>
                <w:rFonts w:eastAsia="Calibri"/>
                <w:lang w:val="hu-HU" w:eastAsia="en-US"/>
              </w:rPr>
              <w:t>.</w:t>
            </w:r>
          </w:p>
          <w:p w:rsidR="00C329B2" w:rsidRPr="002F55ED" w:rsidRDefault="00C329B2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D7291" w:rsidRDefault="002F55ED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t xml:space="preserve">A </w:t>
            </w:r>
            <w:r w:rsidR="002C0F33" w:rsidRPr="002F55ED">
              <w:rPr>
                <w:rFonts w:eastAsia="Calibri"/>
                <w:lang w:val="hu-HU" w:eastAsia="en-US"/>
              </w:rPr>
              <w:t xml:space="preserve">2014. évben lefolytatott </w:t>
            </w:r>
            <w:r w:rsidR="003015E5" w:rsidRPr="005D67C5">
              <w:rPr>
                <w:rFonts w:eastAsia="Calibri"/>
                <w:b/>
                <w:lang w:val="hu-HU" w:eastAsia="en-US"/>
              </w:rPr>
              <w:t xml:space="preserve">beléptető és munkaidő nyilvántartó rendszer </w:t>
            </w:r>
            <w:r w:rsidR="001D7291" w:rsidRPr="005D67C5">
              <w:rPr>
                <w:rFonts w:eastAsia="Calibri"/>
                <w:b/>
                <w:lang w:val="hu-HU" w:eastAsia="en-US"/>
              </w:rPr>
              <w:t xml:space="preserve">használatának </w:t>
            </w:r>
            <w:r w:rsidR="002C0F33" w:rsidRPr="005D67C5">
              <w:rPr>
                <w:rFonts w:eastAsia="Calibri"/>
                <w:b/>
                <w:lang w:val="hu-HU" w:eastAsia="en-US"/>
              </w:rPr>
              <w:t>utó</w:t>
            </w:r>
            <w:r w:rsidR="003015E5" w:rsidRPr="005D67C5">
              <w:rPr>
                <w:rFonts w:eastAsia="Calibri"/>
                <w:b/>
                <w:lang w:val="hu-HU" w:eastAsia="en-US"/>
              </w:rPr>
              <w:t>vizsgálata</w:t>
            </w:r>
            <w:r w:rsidR="00A24828" w:rsidRPr="002F55ED">
              <w:rPr>
                <w:rFonts w:eastAsia="Calibri"/>
                <w:lang w:val="hu-HU" w:eastAsia="en-US"/>
              </w:rPr>
              <w:t xml:space="preserve"> tá</w:t>
            </w:r>
            <w:r w:rsidR="00182052" w:rsidRPr="002F55ED">
              <w:rPr>
                <w:rFonts w:eastAsia="Calibri"/>
                <w:lang w:val="hu-HU" w:eastAsia="en-US"/>
              </w:rPr>
              <w:t xml:space="preserve">rgyú ellenőrzési </w:t>
            </w:r>
            <w:r w:rsidR="008209B2" w:rsidRPr="002F55ED">
              <w:rPr>
                <w:rFonts w:eastAsia="Calibri"/>
                <w:lang w:val="hu-HU" w:eastAsia="en-US"/>
              </w:rPr>
              <w:t>jelentésre 2015</w:t>
            </w:r>
            <w:r w:rsidR="00A24828" w:rsidRPr="002F55ED">
              <w:rPr>
                <w:rFonts w:eastAsia="Calibri"/>
                <w:lang w:val="hu-HU" w:eastAsia="en-US"/>
              </w:rPr>
              <w:t>-ben készít</w:t>
            </w:r>
            <w:r w:rsidR="008209B2" w:rsidRPr="002F55ED">
              <w:rPr>
                <w:rFonts w:eastAsia="Calibri"/>
                <w:lang w:val="hu-HU" w:eastAsia="en-US"/>
              </w:rPr>
              <w:t xml:space="preserve">ett intézkedési terv </w:t>
            </w:r>
            <w:r w:rsidR="001D7291" w:rsidRPr="002F55ED">
              <w:rPr>
                <w:rFonts w:eastAsia="Calibri"/>
                <w:lang w:val="hu-HU" w:eastAsia="en-US"/>
              </w:rPr>
              <w:t>2</w:t>
            </w:r>
            <w:r w:rsidR="00182052" w:rsidRPr="002F55ED">
              <w:rPr>
                <w:rFonts w:eastAsia="Calibri"/>
                <w:lang w:val="hu-HU" w:eastAsia="en-US"/>
              </w:rPr>
              <w:t xml:space="preserve"> db intézkedést tartalmazott, melyek</w:t>
            </w:r>
            <w:r w:rsidRPr="002F55ED">
              <w:rPr>
                <w:rFonts w:eastAsia="Calibri"/>
                <w:lang w:val="hu-HU" w:eastAsia="en-US"/>
              </w:rPr>
              <w:t>et</w:t>
            </w:r>
            <w:r w:rsidR="00182052" w:rsidRPr="002F55ED">
              <w:rPr>
                <w:rFonts w:eastAsia="Calibri"/>
                <w:lang w:val="hu-HU" w:eastAsia="en-US"/>
              </w:rPr>
              <w:t xml:space="preserve"> </w:t>
            </w:r>
            <w:r w:rsidR="001D7291" w:rsidRPr="002F55ED">
              <w:rPr>
                <w:rFonts w:eastAsia="Calibri"/>
                <w:lang w:val="hu-HU" w:eastAsia="en-US"/>
              </w:rPr>
              <w:t>2015-ben végre hajtottak.</w:t>
            </w:r>
          </w:p>
          <w:p w:rsidR="00C329B2" w:rsidRPr="002F55ED" w:rsidRDefault="00C329B2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1250" w:rsidRPr="002F55ED" w:rsidRDefault="00A24828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t>„</w:t>
            </w:r>
            <w:r w:rsidR="002C0F33" w:rsidRPr="005D67C5">
              <w:rPr>
                <w:rFonts w:eastAsia="Calibri"/>
                <w:b/>
                <w:lang w:val="hu-HU" w:eastAsia="en-US"/>
              </w:rPr>
              <w:t>Az Önkormányzat által céljelleggel nyújtott támogatások vizsgálata</w:t>
            </w:r>
            <w:r w:rsidRPr="002F55ED">
              <w:rPr>
                <w:rFonts w:eastAsia="Calibri"/>
                <w:lang w:val="hu-HU" w:eastAsia="en-US"/>
              </w:rPr>
              <w:t xml:space="preserve">” tárgyú </w:t>
            </w:r>
            <w:r w:rsidR="00321751" w:rsidRPr="002F55ED">
              <w:rPr>
                <w:rFonts w:eastAsia="Calibri"/>
                <w:lang w:val="hu-HU" w:eastAsia="en-US"/>
              </w:rPr>
              <w:t xml:space="preserve">2014. évi </w:t>
            </w:r>
            <w:r w:rsidRPr="002F55ED">
              <w:rPr>
                <w:rFonts w:eastAsia="Calibri"/>
                <w:lang w:val="hu-HU" w:eastAsia="en-US"/>
              </w:rPr>
              <w:t>ell</w:t>
            </w:r>
            <w:r w:rsidR="002C0F33" w:rsidRPr="002F55ED">
              <w:rPr>
                <w:rFonts w:eastAsia="Calibri"/>
                <w:lang w:val="hu-HU" w:eastAsia="en-US"/>
              </w:rPr>
              <w:t>enőrzési jelentésre</w:t>
            </w:r>
            <w:r w:rsidRPr="002F55ED">
              <w:rPr>
                <w:rFonts w:eastAsia="Calibri"/>
                <w:lang w:val="hu-HU" w:eastAsia="en-US"/>
              </w:rPr>
              <w:t xml:space="preserve"> </w:t>
            </w:r>
            <w:r w:rsidR="002C0F33" w:rsidRPr="002F55ED">
              <w:rPr>
                <w:rFonts w:eastAsia="Calibri"/>
                <w:lang w:val="hu-HU" w:eastAsia="en-US"/>
              </w:rPr>
              <w:t xml:space="preserve">2015-ben készített </w:t>
            </w:r>
            <w:r w:rsidRPr="002F55ED">
              <w:rPr>
                <w:rFonts w:eastAsia="Calibri"/>
                <w:lang w:val="hu-HU" w:eastAsia="en-US"/>
              </w:rPr>
              <w:t xml:space="preserve">intézkedési tervben foglalt </w:t>
            </w:r>
            <w:r w:rsidR="002C0F33" w:rsidRPr="002F55ED">
              <w:rPr>
                <w:rFonts w:eastAsia="Calibri"/>
                <w:lang w:val="hu-HU" w:eastAsia="en-US"/>
              </w:rPr>
              <w:t>3</w:t>
            </w:r>
            <w:r w:rsidRPr="002F55ED">
              <w:rPr>
                <w:rFonts w:eastAsia="Calibri"/>
                <w:lang w:val="hu-HU" w:eastAsia="en-US"/>
              </w:rPr>
              <w:t xml:space="preserve"> db intézkedés</w:t>
            </w:r>
            <w:r w:rsidR="002C0F33" w:rsidRPr="002F55ED">
              <w:rPr>
                <w:rFonts w:eastAsia="Calibri"/>
                <w:lang w:val="hu-HU" w:eastAsia="en-US"/>
              </w:rPr>
              <w:t>t</w:t>
            </w:r>
            <w:r w:rsidRPr="002F55ED">
              <w:rPr>
                <w:rFonts w:eastAsia="Calibri"/>
                <w:lang w:val="hu-HU" w:eastAsia="en-US"/>
              </w:rPr>
              <w:t xml:space="preserve"> </w:t>
            </w:r>
            <w:r w:rsidR="00181250" w:rsidRPr="002F55ED">
              <w:rPr>
                <w:rFonts w:eastAsia="Calibri"/>
                <w:lang w:val="hu-HU" w:eastAsia="en-US"/>
              </w:rPr>
              <w:t xml:space="preserve">2015-ben </w:t>
            </w:r>
            <w:r w:rsidR="002C0F33" w:rsidRPr="002F55ED">
              <w:rPr>
                <w:rFonts w:eastAsia="Calibri"/>
                <w:lang w:val="hu-HU" w:eastAsia="en-US"/>
              </w:rPr>
              <w:t>végrehajtották.</w:t>
            </w:r>
            <w:r w:rsidR="00181250" w:rsidRPr="002F55ED">
              <w:rPr>
                <w:rFonts w:eastAsia="Calibri"/>
                <w:lang w:val="hu-HU" w:eastAsia="en-US"/>
              </w:rPr>
              <w:t xml:space="preserve"> </w:t>
            </w:r>
          </w:p>
          <w:p w:rsidR="004B708C" w:rsidRDefault="004B708C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lastRenderedPageBreak/>
              <w:t>„</w:t>
            </w:r>
            <w:r w:rsidR="001D7291" w:rsidRPr="005D67C5">
              <w:rPr>
                <w:rFonts w:eastAsia="Calibri"/>
                <w:b/>
                <w:lang w:val="hu-HU" w:eastAsia="en-US"/>
              </w:rPr>
              <w:t>Az Önkormányzat ingatlanvagyonának vizsgálata</w:t>
            </w:r>
            <w:r w:rsidRPr="002F55ED">
              <w:rPr>
                <w:rFonts w:eastAsia="Calibri"/>
                <w:lang w:val="hu-HU" w:eastAsia="en-US"/>
              </w:rPr>
              <w:t xml:space="preserve">” tárgyú </w:t>
            </w:r>
            <w:r w:rsidR="001D7291" w:rsidRPr="002F55ED">
              <w:rPr>
                <w:rFonts w:eastAsia="Calibri"/>
                <w:lang w:val="hu-HU" w:eastAsia="en-US"/>
              </w:rPr>
              <w:t>2014</w:t>
            </w:r>
            <w:r w:rsidR="007E6C6E" w:rsidRPr="002F55ED">
              <w:rPr>
                <w:rFonts w:eastAsia="Calibri"/>
                <w:lang w:val="hu-HU" w:eastAsia="en-US"/>
              </w:rPr>
              <w:t xml:space="preserve">. évi </w:t>
            </w:r>
            <w:r w:rsidRPr="002F55ED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2F55ED">
              <w:rPr>
                <w:rFonts w:eastAsia="Calibri"/>
                <w:lang w:val="hu-HU" w:eastAsia="en-US"/>
              </w:rPr>
              <w:t>készített</w:t>
            </w:r>
            <w:r w:rsidR="00321751" w:rsidRPr="002F55ED">
              <w:rPr>
                <w:rFonts w:eastAsia="Calibri"/>
                <w:lang w:val="hu-HU" w:eastAsia="en-US"/>
              </w:rPr>
              <w:t xml:space="preserve"> intézkedési terv </w:t>
            </w:r>
            <w:r w:rsidR="001D7291" w:rsidRPr="002F55ED">
              <w:rPr>
                <w:rFonts w:eastAsia="Calibri"/>
                <w:lang w:val="hu-HU" w:eastAsia="en-US"/>
              </w:rPr>
              <w:t>5</w:t>
            </w:r>
            <w:r w:rsidR="002F55ED" w:rsidRPr="002F55ED">
              <w:rPr>
                <w:rFonts w:eastAsia="Calibri"/>
                <w:lang w:val="hu-HU" w:eastAsia="en-US"/>
              </w:rPr>
              <w:t xml:space="preserve"> db intézkedést tartalmazott. </w:t>
            </w:r>
            <w:r w:rsidRPr="002F55ED">
              <w:rPr>
                <w:rFonts w:eastAsia="Calibri"/>
                <w:lang w:val="hu-HU" w:eastAsia="en-US"/>
              </w:rPr>
              <w:t xml:space="preserve">Az intézkedési tervben foglaltak végrehajtásáról szóló </w:t>
            </w:r>
            <w:r w:rsidR="001D7291" w:rsidRPr="002F55ED">
              <w:rPr>
                <w:rFonts w:eastAsia="Calibri"/>
                <w:lang w:val="hu-HU" w:eastAsia="en-US"/>
              </w:rPr>
              <w:t>– 2015-ben készült beszámoló alapján - az intézkedéseket 2014</w:t>
            </w:r>
            <w:r w:rsidRPr="002F55ED">
              <w:rPr>
                <w:rFonts w:eastAsia="Calibri"/>
                <w:lang w:val="hu-HU" w:eastAsia="en-US"/>
              </w:rPr>
              <w:t>. évben végre is hajtották.</w:t>
            </w:r>
          </w:p>
          <w:p w:rsidR="00C329B2" w:rsidRDefault="00C329B2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4846AC" w:rsidRDefault="004846AC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</w:t>
            </w:r>
            <w:r w:rsidRPr="005D67C5">
              <w:rPr>
                <w:rFonts w:eastAsia="Calibri"/>
                <w:b/>
                <w:lang w:val="hu-HU" w:eastAsia="en-US"/>
              </w:rPr>
              <w:t>anyakönyvi eljárásokért fizetett illeték lerovásának</w:t>
            </w:r>
            <w:r>
              <w:rPr>
                <w:rFonts w:eastAsia="Calibri"/>
                <w:lang w:val="hu-HU" w:eastAsia="en-US"/>
              </w:rPr>
              <w:t xml:space="preserve"> 2015. évi utóvizsgálatával kapcsolatosan készített intézkedési tervben foglalt 2 intézkedés végrehajtásáról 2015. évben beszámoltak.</w:t>
            </w:r>
          </w:p>
          <w:p w:rsidR="00C329B2" w:rsidRDefault="00C329B2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CA05E4" w:rsidRDefault="00CA05E4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 „</w:t>
            </w:r>
            <w:r w:rsidRPr="005D67C5">
              <w:rPr>
                <w:rFonts w:eastAsia="Calibri"/>
                <w:b/>
                <w:lang w:val="hu-HU" w:eastAsia="en-US"/>
              </w:rPr>
              <w:t>Közbeszerzések közzététele, információbiztonság</w:t>
            </w:r>
            <w:r>
              <w:rPr>
                <w:rFonts w:eastAsia="Calibri"/>
                <w:lang w:val="hu-HU" w:eastAsia="en-US"/>
              </w:rPr>
              <w:t>” tárgyú 2015. évi ellenőrzési jelentésre készített intézkedési tervekben foglalt intézkedések közül 5 intézkedés határideje</w:t>
            </w:r>
            <w:r w:rsidR="0096549C">
              <w:rPr>
                <w:rFonts w:eastAsia="Calibri"/>
                <w:lang w:val="hu-HU" w:eastAsia="en-US"/>
              </w:rPr>
              <w:t xml:space="preserve"> 2015-ben járt le, ezen intézkedések végrehajtásáról 2015-ben be is beszámoltak. 3 intézkedés végrehajtásáról 2016-ban kell beszámolót készíteni.</w:t>
            </w:r>
          </w:p>
          <w:p w:rsidR="00C329B2" w:rsidRDefault="00C329B2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CE069E" w:rsidP="006336B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„</w:t>
            </w:r>
            <w:r w:rsidRPr="005D67C5">
              <w:rPr>
                <w:rFonts w:eastAsia="Calibri"/>
                <w:b/>
                <w:lang w:val="hu-HU" w:eastAsia="en-US"/>
              </w:rPr>
              <w:t>Az ingatlanvagyon nyilvántartásának utóvizsgálata</w:t>
            </w:r>
            <w:r>
              <w:rPr>
                <w:rFonts w:eastAsia="Calibri"/>
                <w:lang w:val="hu-HU" w:eastAsia="en-US"/>
              </w:rPr>
              <w:t xml:space="preserve">” tárgyú 2015-ben lefolytatott ellenőrzéssel kapcsolatos intézkedési terv végrehajtásáról </w:t>
            </w:r>
            <w:r w:rsidR="004846AC">
              <w:rPr>
                <w:rFonts w:eastAsia="Calibri"/>
                <w:lang w:val="hu-HU" w:eastAsia="en-US"/>
              </w:rPr>
              <w:t xml:space="preserve">szóló beszámoló </w:t>
            </w:r>
            <w:r>
              <w:rPr>
                <w:rFonts w:eastAsia="Calibri"/>
                <w:lang w:val="hu-HU" w:eastAsia="en-US"/>
              </w:rPr>
              <w:t xml:space="preserve">2016-ban </w:t>
            </w:r>
            <w:r w:rsidR="004846AC">
              <w:rPr>
                <w:rFonts w:eastAsia="Calibri"/>
                <w:lang w:val="hu-HU" w:eastAsia="en-US"/>
              </w:rPr>
              <w:t>esedékes.</w:t>
            </w:r>
          </w:p>
        </w:tc>
      </w:tr>
    </w:tbl>
    <w:p w:rsidR="00F236E7" w:rsidRDefault="00F236E7" w:rsidP="00320B4D"/>
    <w:p w:rsidR="008100E8" w:rsidRDefault="008100E8" w:rsidP="00320B4D"/>
    <w:p w:rsidR="008100E8" w:rsidRPr="00F67268" w:rsidRDefault="008100E8" w:rsidP="00320B4D"/>
    <w:p w:rsidR="00F67268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8100E8" w:rsidRDefault="008100E8" w:rsidP="00F67268">
      <w:pPr>
        <w:rPr>
          <w:lang w:val="hu-HU"/>
        </w:rPr>
      </w:pPr>
    </w:p>
    <w:p w:rsidR="008100E8" w:rsidRDefault="008100E8" w:rsidP="00F67268">
      <w:pPr>
        <w:rPr>
          <w:lang w:val="hu-HU"/>
        </w:rPr>
      </w:pPr>
    </w:p>
    <w:p w:rsidR="008100E8" w:rsidRPr="000F11B0" w:rsidRDefault="008100E8" w:rsidP="00F67268">
      <w:pPr>
        <w:rPr>
          <w:lang w:val="hu-HU"/>
        </w:rPr>
      </w:pP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E342F9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D6" w:rsidRDefault="00DD36D6" w:rsidP="00F410F1">
      <w:r>
        <w:separator/>
      </w:r>
    </w:p>
  </w:endnote>
  <w:endnote w:type="continuationSeparator" w:id="0">
    <w:p w:rsidR="00DD36D6" w:rsidRDefault="00DD36D6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D6" w:rsidRDefault="00DD36D6" w:rsidP="00F410F1">
      <w:r>
        <w:separator/>
      </w:r>
    </w:p>
  </w:footnote>
  <w:footnote w:type="continuationSeparator" w:id="0">
    <w:p w:rsidR="00DD36D6" w:rsidRDefault="00DD36D6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F9" w:rsidRPr="00E342F9" w:rsidRDefault="00E342F9" w:rsidP="00E342F9">
    <w:pPr>
      <w:pStyle w:val="lfej"/>
      <w:jc w:val="right"/>
      <w:rPr>
        <w:sz w:val="20"/>
        <w:szCs w:val="20"/>
        <w:lang w:val="hu-HU"/>
      </w:rPr>
    </w:pPr>
    <w:r w:rsidRPr="00E342F9">
      <w:rPr>
        <w:sz w:val="20"/>
        <w:szCs w:val="20"/>
        <w:lang w:val="hu-HU"/>
      </w:rPr>
      <w:t>5.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66151"/>
    <w:multiLevelType w:val="hybridMultilevel"/>
    <w:tmpl w:val="28328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34985"/>
    <w:multiLevelType w:val="hybridMultilevel"/>
    <w:tmpl w:val="4496B2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47A8D"/>
    <w:rsid w:val="00062AD6"/>
    <w:rsid w:val="000664EB"/>
    <w:rsid w:val="0007309E"/>
    <w:rsid w:val="000746AA"/>
    <w:rsid w:val="00097EF6"/>
    <w:rsid w:val="000F11B0"/>
    <w:rsid w:val="001017E8"/>
    <w:rsid w:val="00137EEC"/>
    <w:rsid w:val="00146B2A"/>
    <w:rsid w:val="00150A89"/>
    <w:rsid w:val="00172774"/>
    <w:rsid w:val="00175EE5"/>
    <w:rsid w:val="00181250"/>
    <w:rsid w:val="00182052"/>
    <w:rsid w:val="001A07D1"/>
    <w:rsid w:val="001A39E4"/>
    <w:rsid w:val="001C4270"/>
    <w:rsid w:val="001C589F"/>
    <w:rsid w:val="001D0EEF"/>
    <w:rsid w:val="001D7291"/>
    <w:rsid w:val="001F03EC"/>
    <w:rsid w:val="001F365F"/>
    <w:rsid w:val="00207A23"/>
    <w:rsid w:val="00215395"/>
    <w:rsid w:val="00273003"/>
    <w:rsid w:val="002770DA"/>
    <w:rsid w:val="00277B9B"/>
    <w:rsid w:val="002928FF"/>
    <w:rsid w:val="002C0F33"/>
    <w:rsid w:val="002D153C"/>
    <w:rsid w:val="002D7134"/>
    <w:rsid w:val="002F3811"/>
    <w:rsid w:val="002F55ED"/>
    <w:rsid w:val="00300A08"/>
    <w:rsid w:val="003015E5"/>
    <w:rsid w:val="00302120"/>
    <w:rsid w:val="00315FA4"/>
    <w:rsid w:val="003161B5"/>
    <w:rsid w:val="00316EB9"/>
    <w:rsid w:val="00320B4D"/>
    <w:rsid w:val="00321751"/>
    <w:rsid w:val="00337AAB"/>
    <w:rsid w:val="00350B11"/>
    <w:rsid w:val="00351A84"/>
    <w:rsid w:val="00393D64"/>
    <w:rsid w:val="003A3A86"/>
    <w:rsid w:val="003A41C1"/>
    <w:rsid w:val="003B6F33"/>
    <w:rsid w:val="003B75B7"/>
    <w:rsid w:val="003D3A7E"/>
    <w:rsid w:val="003E14BC"/>
    <w:rsid w:val="003E1C31"/>
    <w:rsid w:val="003E4229"/>
    <w:rsid w:val="003F1A56"/>
    <w:rsid w:val="0043522A"/>
    <w:rsid w:val="00440385"/>
    <w:rsid w:val="00445942"/>
    <w:rsid w:val="00445DDB"/>
    <w:rsid w:val="00447722"/>
    <w:rsid w:val="00454CDB"/>
    <w:rsid w:val="00467EBD"/>
    <w:rsid w:val="004846AC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D67C5"/>
    <w:rsid w:val="005F4730"/>
    <w:rsid w:val="00601EE9"/>
    <w:rsid w:val="00602D86"/>
    <w:rsid w:val="006336B4"/>
    <w:rsid w:val="00643848"/>
    <w:rsid w:val="00647DC3"/>
    <w:rsid w:val="00656C58"/>
    <w:rsid w:val="006613B4"/>
    <w:rsid w:val="00675621"/>
    <w:rsid w:val="006A1F8C"/>
    <w:rsid w:val="006A30A8"/>
    <w:rsid w:val="006C3444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100E8"/>
    <w:rsid w:val="008209B2"/>
    <w:rsid w:val="00852404"/>
    <w:rsid w:val="00853F6E"/>
    <w:rsid w:val="0085796B"/>
    <w:rsid w:val="008607FC"/>
    <w:rsid w:val="00864BA0"/>
    <w:rsid w:val="0089357D"/>
    <w:rsid w:val="008A591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6549C"/>
    <w:rsid w:val="00985182"/>
    <w:rsid w:val="00985642"/>
    <w:rsid w:val="009A0A8B"/>
    <w:rsid w:val="009C7AF9"/>
    <w:rsid w:val="009D56FE"/>
    <w:rsid w:val="009D77F5"/>
    <w:rsid w:val="009F65CC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33C0E"/>
    <w:rsid w:val="00B64D14"/>
    <w:rsid w:val="00B907B3"/>
    <w:rsid w:val="00B912E2"/>
    <w:rsid w:val="00BC4E37"/>
    <w:rsid w:val="00BE1731"/>
    <w:rsid w:val="00BE420A"/>
    <w:rsid w:val="00BE4DB0"/>
    <w:rsid w:val="00C03861"/>
    <w:rsid w:val="00C11520"/>
    <w:rsid w:val="00C142B0"/>
    <w:rsid w:val="00C329B2"/>
    <w:rsid w:val="00C63CAD"/>
    <w:rsid w:val="00C92E3D"/>
    <w:rsid w:val="00CA05E4"/>
    <w:rsid w:val="00CA4955"/>
    <w:rsid w:val="00CB6B2E"/>
    <w:rsid w:val="00CD4BC0"/>
    <w:rsid w:val="00CE069E"/>
    <w:rsid w:val="00D02D25"/>
    <w:rsid w:val="00D22010"/>
    <w:rsid w:val="00D23BAB"/>
    <w:rsid w:val="00D642A0"/>
    <w:rsid w:val="00D661C2"/>
    <w:rsid w:val="00D7715D"/>
    <w:rsid w:val="00D81F46"/>
    <w:rsid w:val="00D86806"/>
    <w:rsid w:val="00D96883"/>
    <w:rsid w:val="00DC0AA4"/>
    <w:rsid w:val="00DC2AC6"/>
    <w:rsid w:val="00DC626F"/>
    <w:rsid w:val="00DD36D6"/>
    <w:rsid w:val="00E33ED3"/>
    <w:rsid w:val="00E342F9"/>
    <w:rsid w:val="00E83782"/>
    <w:rsid w:val="00E87B09"/>
    <w:rsid w:val="00EB2EC2"/>
    <w:rsid w:val="00ED267F"/>
    <w:rsid w:val="00EF5A6D"/>
    <w:rsid w:val="00F236E7"/>
    <w:rsid w:val="00F2459A"/>
    <w:rsid w:val="00F410F1"/>
    <w:rsid w:val="00F43199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4067-29F6-44D4-BE75-FCD53056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1663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9</cp:revision>
  <cp:lastPrinted>2016-03-30T07:25:00Z</cp:lastPrinted>
  <dcterms:created xsi:type="dcterms:W3CDTF">2016-03-05T12:27:00Z</dcterms:created>
  <dcterms:modified xsi:type="dcterms:W3CDTF">2016-03-30T07:26:00Z</dcterms:modified>
</cp:coreProperties>
</file>