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6E288B" w:rsidRDefault="00F769A7" w:rsidP="00F769A7">
      <w:pPr>
        <w:jc w:val="right"/>
        <w:rPr>
          <w:b/>
          <w:lang w:val="hu-HU"/>
        </w:rPr>
      </w:pPr>
      <w:r>
        <w:rPr>
          <w:b/>
          <w:lang w:val="hu-HU"/>
        </w:rPr>
        <w:t>10. sz. melléklet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00"/>
        <w:gridCol w:w="559"/>
        <w:gridCol w:w="32"/>
        <w:gridCol w:w="701"/>
        <w:gridCol w:w="17"/>
        <w:gridCol w:w="36"/>
        <w:gridCol w:w="2252"/>
        <w:gridCol w:w="87"/>
        <w:gridCol w:w="50"/>
        <w:gridCol w:w="4000"/>
        <w:gridCol w:w="6051"/>
      </w:tblGrid>
      <w:tr w:rsidR="00320B4D" w:rsidRPr="006E288B" w:rsidTr="003633BB">
        <w:trPr>
          <w:trHeight w:val="679"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6E288B" w:rsidRDefault="008D56FA" w:rsidP="00320B4D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Rét Utcai Központi</w:t>
            </w:r>
            <w:r w:rsidR="00C92E3D" w:rsidRPr="006E288B">
              <w:rPr>
                <w:rFonts w:eastAsia="Calibri"/>
                <w:b/>
                <w:lang w:val="hu-HU" w:eastAsia="en-US"/>
              </w:rPr>
              <w:t xml:space="preserve"> Óvoda</w:t>
            </w:r>
            <w:r w:rsidR="00320B4D" w:rsidRPr="006E288B">
              <w:rPr>
                <w:rFonts w:eastAsia="Calibri"/>
                <w:b/>
                <w:lang w:val="hu-HU" w:eastAsia="en-US"/>
              </w:rPr>
              <w:t xml:space="preserve"> 2013. évi ellenőrzési jelentése</w:t>
            </w:r>
          </w:p>
        </w:tc>
      </w:tr>
      <w:tr w:rsidR="00320B4D" w:rsidRPr="006E288B" w:rsidTr="003633BB">
        <w:trPr>
          <w:trHeight w:val="501"/>
        </w:trPr>
        <w:tc>
          <w:tcPr>
            <w:tcW w:w="159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E288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E288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2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E288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9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E288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6E288B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52" w:type="pct"/>
            <w:gridSpan w:val="4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E288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6E288B" w:rsidTr="003633BB">
        <w:trPr>
          <w:trHeight w:val="187"/>
        </w:trPr>
        <w:tc>
          <w:tcPr>
            <w:tcW w:w="5000" w:type="pct"/>
            <w:gridSpan w:val="12"/>
            <w:shd w:val="clear" w:color="auto" w:fill="D9D9D9"/>
          </w:tcPr>
          <w:p w:rsidR="00320B4D" w:rsidRPr="006E288B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456ABB" w:rsidRPr="006E288B" w:rsidTr="003633BB">
        <w:trPr>
          <w:trHeight w:val="3354"/>
        </w:trPr>
        <w:tc>
          <w:tcPr>
            <w:tcW w:w="159" w:type="pct"/>
          </w:tcPr>
          <w:p w:rsidR="00456ABB" w:rsidRPr="006E288B" w:rsidRDefault="00456ABB" w:rsidP="00F81384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F81384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6" w:type="pct"/>
            <w:gridSpan w:val="2"/>
          </w:tcPr>
          <w:p w:rsidR="00456ABB" w:rsidRPr="006E288B" w:rsidRDefault="00456ABB" w:rsidP="00F81384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4" w:type="pct"/>
            <w:gridSpan w:val="3"/>
          </w:tcPr>
          <w:p w:rsidR="00456ABB" w:rsidRPr="006E288B" w:rsidRDefault="00456ABB" w:rsidP="00F81384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6E288B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52" w:type="pct"/>
            <w:gridSpan w:val="4"/>
          </w:tcPr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intézmények elkészíteni az éves ellenőrzési jelentést. Az éves ellenőrzési jelentés az alábbiakat tartalmazza: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6E288B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E288B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6E288B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6E288B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6E288B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E288B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6E288B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6E288B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6E288B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E288B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6E288B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6E288B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E288B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6E288B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6E288B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6E288B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F81384" w:rsidRPr="006E288B" w:rsidTr="003633BB">
        <w:tc>
          <w:tcPr>
            <w:tcW w:w="159" w:type="pct"/>
          </w:tcPr>
          <w:p w:rsidR="00F81384" w:rsidRPr="006E288B" w:rsidRDefault="00F81384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0" w:type="pct"/>
            <w:gridSpan w:val="2"/>
          </w:tcPr>
          <w:p w:rsidR="00F81384" w:rsidRPr="006E288B" w:rsidRDefault="00F8138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F81384" w:rsidRPr="006E288B" w:rsidRDefault="00F81384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7" w:type="pct"/>
            <w:gridSpan w:val="2"/>
          </w:tcPr>
          <w:p w:rsidR="00F81384" w:rsidRPr="006E288B" w:rsidRDefault="00F81384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6E288B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6E288B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52" w:type="pct"/>
            <w:gridSpan w:val="4"/>
          </w:tcPr>
          <w:p w:rsidR="00F81384" w:rsidRPr="006E288B" w:rsidRDefault="00F81384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 költségvetési szerv 2013. évi belső ellenőrzését a KMJV Polgármesteri Hivatal</w:t>
            </w:r>
            <w:r w:rsidR="00A05A4A" w:rsidRPr="006E288B">
              <w:rPr>
                <w:rFonts w:eastAsia="Calibri"/>
                <w:lang w:val="hu-HU" w:eastAsia="en-US"/>
              </w:rPr>
              <w:t xml:space="preserve"> Ellenőrzési Irodá</w:t>
            </w:r>
            <w:r w:rsidRPr="006E288B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456ABB" w:rsidRPr="006E288B" w:rsidTr="003633BB"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7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6E288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6E288B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6E288B">
              <w:rPr>
                <w:rFonts w:eastAsia="Calibri"/>
                <w:b/>
                <w:lang w:val="hu-HU" w:eastAsia="en-US"/>
              </w:rPr>
              <w:t>) pont)</w:t>
            </w:r>
          </w:p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52" w:type="pct"/>
            <w:gridSpan w:val="4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456ABB" w:rsidRPr="006E288B" w:rsidTr="003633BB">
        <w:trPr>
          <w:trHeight w:val="3543"/>
        </w:trPr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7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52" w:type="pct"/>
            <w:gridSpan w:val="4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3823"/>
              <w:gridCol w:w="4390"/>
            </w:tblGrid>
            <w:tr w:rsidR="00456ABB" w:rsidRPr="006E288B" w:rsidTr="00EF5A6D">
              <w:tc>
                <w:tcPr>
                  <w:tcW w:w="1528" w:type="dxa"/>
                  <w:shd w:val="clear" w:color="auto" w:fill="D9D9D9"/>
                </w:tcPr>
                <w:p w:rsidR="00456ABB" w:rsidRPr="006E288B" w:rsidRDefault="00456ABB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6E288B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917" w:type="dxa"/>
                  <w:shd w:val="clear" w:color="auto" w:fill="D9D9D9"/>
                </w:tcPr>
                <w:p w:rsidR="00456ABB" w:rsidRPr="006E288B" w:rsidRDefault="00456ABB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504" w:type="dxa"/>
                  <w:shd w:val="clear" w:color="auto" w:fill="D9D9D9"/>
                </w:tcPr>
                <w:p w:rsidR="00456ABB" w:rsidRPr="006E288B" w:rsidRDefault="00456ABB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456ABB" w:rsidRPr="006E288B" w:rsidTr="00EF5A6D">
              <w:tc>
                <w:tcPr>
                  <w:tcW w:w="1528" w:type="dxa"/>
                </w:tcPr>
                <w:p w:rsidR="00456ABB" w:rsidRPr="006E288B" w:rsidRDefault="00DE2994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="00456ABB" w:rsidRPr="006E288B">
                    <w:rPr>
                      <w:rFonts w:eastAsia="Calibri"/>
                      <w:lang w:val="hu-HU" w:eastAsia="en-US"/>
                    </w:rPr>
                    <w:t>2012. évi normatíva</w:t>
                  </w:r>
                </w:p>
              </w:tc>
              <w:tc>
                <w:tcPr>
                  <w:tcW w:w="3917" w:type="dxa"/>
                </w:tcPr>
                <w:p w:rsidR="00456ABB" w:rsidRPr="006E288B" w:rsidRDefault="00456ABB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lang w:val="hu-HU" w:eastAsia="en-US"/>
                    </w:rPr>
                    <w:t>Normatív, állami hozzájárulás és támogatás elszámolása megfelelő-e.</w:t>
                  </w:r>
                </w:p>
              </w:tc>
              <w:tc>
                <w:tcPr>
                  <w:tcW w:w="4504" w:type="dxa"/>
                </w:tcPr>
                <w:p w:rsidR="00456ABB" w:rsidRPr="006E288B" w:rsidRDefault="00456ABB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456ABB" w:rsidRPr="006E288B" w:rsidTr="00EF5A6D">
              <w:tc>
                <w:tcPr>
                  <w:tcW w:w="1528" w:type="dxa"/>
                </w:tcPr>
                <w:p w:rsidR="00456ABB" w:rsidRPr="006E288B" w:rsidRDefault="00DE2994" w:rsidP="00D81F46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="00456ABB" w:rsidRPr="006E288B">
                    <w:rPr>
                      <w:rFonts w:eastAsia="Calibri"/>
                      <w:lang w:val="hu-HU" w:eastAsia="en-US"/>
                    </w:rPr>
                    <w:t>2012. évi pénzmaradvány</w:t>
                  </w:r>
                </w:p>
              </w:tc>
              <w:tc>
                <w:tcPr>
                  <w:tcW w:w="3917" w:type="dxa"/>
                </w:tcPr>
                <w:p w:rsidR="00456ABB" w:rsidRPr="006E288B" w:rsidRDefault="00456ABB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lang w:val="hu-HU" w:eastAsia="en-US"/>
                    </w:rPr>
                    <w:t>Elvonható pénzmaradvány kimutatása.</w:t>
                  </w:r>
                </w:p>
              </w:tc>
              <w:tc>
                <w:tcPr>
                  <w:tcW w:w="4504" w:type="dxa"/>
                </w:tcPr>
                <w:p w:rsidR="00456ABB" w:rsidRPr="006E288B" w:rsidRDefault="00456ABB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456ABB" w:rsidRPr="006E288B" w:rsidTr="00EF5A6D">
              <w:tc>
                <w:tcPr>
                  <w:tcW w:w="1528" w:type="dxa"/>
                </w:tcPr>
                <w:p w:rsidR="00456ABB" w:rsidRPr="006E288B" w:rsidRDefault="00DE2994" w:rsidP="00D81F46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**</w:t>
                  </w:r>
                  <w:r w:rsidR="00456ABB" w:rsidRPr="006E288B">
                    <w:rPr>
                      <w:rFonts w:eastAsia="Calibri"/>
                      <w:lang w:val="hu-HU" w:eastAsia="en-US"/>
                    </w:rPr>
                    <w:t>2013. évi minimálbér, garantált bérminimum vizsgálata</w:t>
                  </w:r>
                </w:p>
              </w:tc>
              <w:tc>
                <w:tcPr>
                  <w:tcW w:w="3917" w:type="dxa"/>
                </w:tcPr>
                <w:p w:rsidR="00456ABB" w:rsidRPr="006E288B" w:rsidRDefault="00456ABB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504" w:type="dxa"/>
                </w:tcPr>
                <w:p w:rsidR="00456ABB" w:rsidRPr="006E288B" w:rsidRDefault="00456ABB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456ABB" w:rsidRPr="006E288B" w:rsidTr="00EF5A6D">
              <w:tc>
                <w:tcPr>
                  <w:tcW w:w="1528" w:type="dxa"/>
                </w:tcPr>
                <w:p w:rsidR="00456ABB" w:rsidRPr="006E288B" w:rsidRDefault="00456ABB" w:rsidP="00D23BAB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917" w:type="dxa"/>
                </w:tcPr>
                <w:p w:rsidR="00456ABB" w:rsidRPr="006E288B" w:rsidRDefault="00456ABB" w:rsidP="0095376D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4504" w:type="dxa"/>
                </w:tcPr>
                <w:p w:rsidR="00456ABB" w:rsidRPr="006E288B" w:rsidRDefault="00456ABB" w:rsidP="00D96883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456ABB" w:rsidRPr="006E288B" w:rsidRDefault="00456ABB" w:rsidP="00456ABB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*Az ellenőrzés munkaterv szerint</w:t>
            </w:r>
            <w:r w:rsidR="00F41ED4" w:rsidRPr="006E288B">
              <w:rPr>
                <w:rFonts w:eastAsia="Calibri"/>
                <w:lang w:val="hu-HU" w:eastAsia="en-US"/>
              </w:rPr>
              <w:t xml:space="preserve"> történt</w:t>
            </w:r>
            <w:r w:rsidRPr="006E288B">
              <w:rPr>
                <w:rFonts w:eastAsia="Calibri"/>
                <w:lang w:val="hu-HU" w:eastAsia="en-US"/>
              </w:rPr>
              <w:t>.</w:t>
            </w:r>
          </w:p>
          <w:p w:rsidR="00456ABB" w:rsidRPr="006E288B" w:rsidRDefault="00456ABB" w:rsidP="00456ABB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**Az ellenőrzés munkaterven felül</w:t>
            </w:r>
            <w:r w:rsidR="00F41ED4" w:rsidRPr="006E288B">
              <w:rPr>
                <w:rFonts w:eastAsia="Calibri"/>
                <w:lang w:val="hu-HU" w:eastAsia="en-US"/>
              </w:rPr>
              <w:t xml:space="preserve"> történt</w:t>
            </w:r>
            <w:r w:rsidRPr="006E288B">
              <w:rPr>
                <w:rFonts w:eastAsia="Calibri"/>
                <w:lang w:val="hu-HU" w:eastAsia="en-US"/>
              </w:rPr>
              <w:t>.</w:t>
            </w:r>
          </w:p>
          <w:p w:rsidR="00456ABB" w:rsidRPr="006E288B" w:rsidRDefault="00456ABB" w:rsidP="00300A08">
            <w:pPr>
              <w:jc w:val="both"/>
              <w:rPr>
                <w:lang w:val="hu-HU"/>
              </w:rPr>
            </w:pPr>
          </w:p>
        </w:tc>
      </w:tr>
      <w:tr w:rsidR="00456ABB" w:rsidRPr="006E288B" w:rsidTr="003633BB">
        <w:trPr>
          <w:trHeight w:val="3512"/>
        </w:trPr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27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6E288B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6E288B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2" w:type="pct"/>
            <w:gridSpan w:val="3"/>
          </w:tcPr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456ABB" w:rsidRPr="006E288B" w:rsidTr="003633BB"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27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6E288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22" w:type="pct"/>
            <w:gridSpan w:val="3"/>
          </w:tcPr>
          <w:p w:rsidR="00456ABB" w:rsidRPr="006E288B" w:rsidRDefault="00456ABB" w:rsidP="00F81384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456ABB" w:rsidRPr="006E288B" w:rsidTr="003633BB"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27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6E288B">
              <w:rPr>
                <w:rFonts w:eastAsia="Calibri"/>
                <w:i/>
                <w:u w:val="single"/>
                <w:lang w:val="hu-HU" w:eastAsia="en-US"/>
              </w:rPr>
              <w:lastRenderedPageBreak/>
              <w:t>egység(</w:t>
            </w:r>
            <w:proofErr w:type="spellStart"/>
            <w:proofErr w:type="gramEnd"/>
            <w:r w:rsidRPr="006E288B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6E288B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22" w:type="pct"/>
            <w:gridSpan w:val="3"/>
          </w:tcPr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lastRenderedPageBreak/>
              <w:t xml:space="preserve">A belső ellenőrzési egységnél a tervekben szereplő feladatok ellátásához szükséges </w:t>
            </w:r>
            <w:proofErr w:type="gramStart"/>
            <w:r w:rsidRPr="006E288B">
              <w:rPr>
                <w:rFonts w:eastAsia="Calibri"/>
                <w:lang w:val="hu-HU" w:eastAsia="en-US"/>
              </w:rPr>
              <w:t xml:space="preserve">kapacitás </w:t>
            </w:r>
            <w:r w:rsidRPr="006E288B">
              <w:rPr>
                <w:rFonts w:eastAsia="Calibri"/>
                <w:lang w:val="hu-HU" w:eastAsia="en-US"/>
              </w:rPr>
              <w:lastRenderedPageBreak/>
              <w:t>rendelkezésre</w:t>
            </w:r>
            <w:proofErr w:type="gramEnd"/>
            <w:r w:rsidRPr="006E288B">
              <w:rPr>
                <w:rFonts w:eastAsia="Calibri"/>
                <w:lang w:val="hu-HU" w:eastAsia="en-US"/>
              </w:rPr>
              <w:t xml:space="preserve"> állt.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456ABB" w:rsidRPr="006E288B" w:rsidTr="003633BB"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27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6E288B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6E288B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6E288B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6E288B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6E288B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22" w:type="pct"/>
            <w:gridSpan w:val="3"/>
          </w:tcPr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456ABB" w:rsidRPr="006E288B" w:rsidTr="003633BB"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27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i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6E288B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6E288B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6E288B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6E288B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6E288B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2" w:type="pct"/>
            <w:gridSpan w:val="3"/>
          </w:tcPr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456ABB" w:rsidRPr="006E288B" w:rsidTr="003633BB"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27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22" w:type="pct"/>
            <w:gridSpan w:val="3"/>
          </w:tcPr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456ABB" w:rsidRPr="006E288B" w:rsidTr="003633BB"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27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22" w:type="pct"/>
            <w:gridSpan w:val="3"/>
          </w:tcPr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456ABB" w:rsidRPr="006E288B" w:rsidTr="003633BB">
        <w:tc>
          <w:tcPr>
            <w:tcW w:w="159" w:type="pct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456ABB" w:rsidRPr="006E288B" w:rsidRDefault="00456AB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456ABB" w:rsidRPr="006E288B" w:rsidRDefault="00456ABB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27" w:type="pct"/>
            <w:gridSpan w:val="3"/>
          </w:tcPr>
          <w:p w:rsidR="00456ABB" w:rsidRPr="006E288B" w:rsidRDefault="00456ABB" w:rsidP="00300A08">
            <w:pPr>
              <w:rPr>
                <w:rFonts w:eastAsia="Calibri"/>
                <w:i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22" w:type="pct"/>
            <w:gridSpan w:val="3"/>
          </w:tcPr>
          <w:p w:rsidR="00456ABB" w:rsidRPr="006E288B" w:rsidRDefault="00456ABB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6E288B">
              <w:rPr>
                <w:rFonts w:eastAsia="Calibri"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6E288B">
              <w:rPr>
                <w:rFonts w:eastAsia="Calibri"/>
                <w:lang w:val="hu-HU" w:eastAsia="en-US"/>
              </w:rPr>
              <w:t>-a</w:t>
            </w:r>
            <w:proofErr w:type="spellEnd"/>
            <w:r w:rsidRPr="006E288B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A05A4A" w:rsidRPr="006E288B" w:rsidTr="003633BB">
        <w:tc>
          <w:tcPr>
            <w:tcW w:w="159" w:type="pct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27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E288B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A05A4A" w:rsidRPr="006E288B" w:rsidRDefault="00A05A4A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2" w:type="pct"/>
            <w:gridSpan w:val="3"/>
          </w:tcPr>
          <w:p w:rsidR="00A05A4A" w:rsidRPr="006E288B" w:rsidRDefault="00A05A4A" w:rsidP="003B2A32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A05A4A" w:rsidRPr="006E288B" w:rsidTr="003633BB">
        <w:tc>
          <w:tcPr>
            <w:tcW w:w="159" w:type="pct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2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27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6E288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6E288B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6E288B">
              <w:rPr>
                <w:rFonts w:eastAsia="Calibri"/>
                <w:b/>
                <w:lang w:val="hu-HU" w:eastAsia="en-US"/>
              </w:rPr>
              <w:t>) pont)</w:t>
            </w:r>
          </w:p>
          <w:p w:rsidR="00A05A4A" w:rsidRPr="006E288B" w:rsidRDefault="00A05A4A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2" w:type="pct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9"/>
              <w:gridCol w:w="4184"/>
            </w:tblGrid>
            <w:tr w:rsidR="00A05A4A" w:rsidRPr="006E288B" w:rsidTr="00300A08">
              <w:tc>
                <w:tcPr>
                  <w:tcW w:w="1369" w:type="dxa"/>
                  <w:shd w:val="clear" w:color="auto" w:fill="D9D9D9"/>
                </w:tcPr>
                <w:p w:rsidR="00A05A4A" w:rsidRPr="006E288B" w:rsidRDefault="00A05A4A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6E288B">
                    <w:rPr>
                      <w:rFonts w:eastAsia="Calibri"/>
                      <w:i/>
                      <w:lang w:val="hu-HU" w:eastAsia="en-US"/>
                    </w:rPr>
                    <w:lastRenderedPageBreak/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A05A4A" w:rsidRPr="006E288B" w:rsidRDefault="00A05A4A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A05A4A" w:rsidRPr="006E288B" w:rsidTr="00300A08">
              <w:tc>
                <w:tcPr>
                  <w:tcW w:w="1369" w:type="dxa"/>
                </w:tcPr>
                <w:p w:rsidR="00A05A4A" w:rsidRPr="006E288B" w:rsidRDefault="00A05A4A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6E288B">
                    <w:rPr>
                      <w:rFonts w:eastAsia="Calibri"/>
                      <w:lang w:val="hu-HU" w:eastAsia="en-US"/>
                    </w:rPr>
                    <w:t xml:space="preserve">A tanácsadás </w:t>
                  </w:r>
                  <w:r w:rsidRPr="006E288B">
                    <w:rPr>
                      <w:rFonts w:eastAsia="Calibri"/>
                      <w:lang w:val="hu-HU" w:eastAsia="en-US"/>
                    </w:rPr>
                    <w:lastRenderedPageBreak/>
                    <w:t>címe, tárgya</w:t>
                  </w:r>
                  <w:r w:rsidRPr="006E288B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A05A4A" w:rsidRPr="006E288B" w:rsidRDefault="00A05A4A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E288B">
                    <w:rPr>
                      <w:rFonts w:eastAsia="Calibri"/>
                      <w:lang w:val="hu-HU" w:eastAsia="en-US"/>
                    </w:rPr>
                    <w:lastRenderedPageBreak/>
                    <w:t>A tanácsadás eredményeinek rövid bemutatása.</w:t>
                  </w:r>
                </w:p>
              </w:tc>
            </w:tr>
          </w:tbl>
          <w:p w:rsidR="00A05A4A" w:rsidRPr="006E288B" w:rsidRDefault="00A05A4A" w:rsidP="00300A08">
            <w:pPr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lastRenderedPageBreak/>
              <w:t>Nem kértek tanácsadást.</w:t>
            </w:r>
          </w:p>
        </w:tc>
      </w:tr>
      <w:tr w:rsidR="00A05A4A" w:rsidRPr="006E288B" w:rsidTr="003633BB">
        <w:tc>
          <w:tcPr>
            <w:tcW w:w="5000" w:type="pct"/>
            <w:gridSpan w:val="12"/>
            <w:shd w:val="clear" w:color="auto" w:fill="D9D9D9"/>
          </w:tcPr>
          <w:p w:rsidR="00A05A4A" w:rsidRPr="006E288B" w:rsidRDefault="00A05A4A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05A4A" w:rsidRPr="006E288B" w:rsidTr="003633BB">
        <w:tc>
          <w:tcPr>
            <w:tcW w:w="194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4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1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6E288B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6E288B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  <w:p w:rsidR="00A05A4A" w:rsidRPr="006E288B" w:rsidRDefault="00A05A4A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1395" w:type="pct"/>
          </w:tcPr>
          <w:p w:rsidR="00A05A4A" w:rsidRPr="006E288B" w:rsidRDefault="00A05A4A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110" w:type="pct"/>
          </w:tcPr>
          <w:p w:rsidR="00A05A4A" w:rsidRPr="006E288B" w:rsidRDefault="00A05A4A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05A4A" w:rsidRPr="006E288B" w:rsidTr="003633BB">
        <w:tc>
          <w:tcPr>
            <w:tcW w:w="194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4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1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6E288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6E288B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6E288B">
              <w:rPr>
                <w:rFonts w:eastAsia="Calibri"/>
                <w:b/>
                <w:lang w:val="hu-HU" w:eastAsia="en-US"/>
              </w:rPr>
              <w:t>) pont)</w:t>
            </w:r>
          </w:p>
          <w:p w:rsidR="00A05A4A" w:rsidRPr="006E288B" w:rsidRDefault="00A05A4A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06" w:type="pct"/>
            <w:gridSpan w:val="2"/>
          </w:tcPr>
          <w:tbl>
            <w:tblPr>
              <w:tblW w:w="773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442"/>
              <w:gridCol w:w="1933"/>
              <w:gridCol w:w="1985"/>
              <w:gridCol w:w="2371"/>
            </w:tblGrid>
            <w:tr w:rsidR="00A05A4A" w:rsidRPr="006E288B" w:rsidTr="00EF5A6D">
              <w:trPr>
                <w:trHeight w:val="242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A05A4A" w:rsidRPr="006E288B" w:rsidRDefault="00A05A4A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6E288B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A05A4A" w:rsidRPr="006E288B" w:rsidRDefault="00A05A4A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6E288B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A05A4A" w:rsidRPr="006E288B" w:rsidRDefault="00A05A4A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6E288B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A05A4A" w:rsidRPr="006E288B" w:rsidRDefault="00A05A4A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6E288B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A05A4A" w:rsidRPr="006E288B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05A4A" w:rsidRPr="006E288B" w:rsidRDefault="00A05A4A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05A4A" w:rsidRPr="006E288B" w:rsidRDefault="00A05A4A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05A4A" w:rsidRPr="006E288B" w:rsidRDefault="00A05A4A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5A4A" w:rsidRPr="006E288B" w:rsidRDefault="00A05A4A" w:rsidP="00EF5A6D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  <w:tr w:rsidR="00A05A4A" w:rsidRPr="006E288B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05A4A" w:rsidRPr="006E288B" w:rsidRDefault="00A05A4A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05A4A" w:rsidRPr="006E288B" w:rsidRDefault="00A05A4A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05A4A" w:rsidRPr="006E288B" w:rsidRDefault="00A05A4A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5A4A" w:rsidRPr="006E288B" w:rsidRDefault="00A05A4A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A05A4A" w:rsidRPr="006E288B" w:rsidRDefault="00A05A4A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A05A4A" w:rsidRPr="006E288B" w:rsidRDefault="00A05A4A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05A4A" w:rsidRPr="006E288B" w:rsidTr="003633BB">
        <w:tc>
          <w:tcPr>
            <w:tcW w:w="194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4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1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6E288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6E288B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6E288B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06" w:type="pct"/>
            <w:gridSpan w:val="2"/>
          </w:tcPr>
          <w:p w:rsidR="00A05A4A" w:rsidRPr="006E288B" w:rsidRDefault="00A05A4A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A05A4A" w:rsidRPr="006E288B" w:rsidRDefault="00A05A4A" w:rsidP="00F8138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A05A4A" w:rsidRPr="006E288B" w:rsidRDefault="00A05A4A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6E288B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6E288B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A05A4A" w:rsidRPr="006E288B" w:rsidRDefault="00A05A4A" w:rsidP="00F8138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Kockázatkezelési rendszer</w:t>
            </w:r>
          </w:p>
          <w:p w:rsidR="00A05A4A" w:rsidRPr="006E288B" w:rsidRDefault="00A05A4A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</w:t>
            </w:r>
            <w:r w:rsidRPr="006E288B">
              <w:rPr>
                <w:rFonts w:eastAsia="Calibri"/>
                <w:lang w:val="hu-HU" w:eastAsia="en-US"/>
              </w:rPr>
              <w:lastRenderedPageBreak/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A05A4A" w:rsidRPr="006E288B" w:rsidRDefault="00A05A4A" w:rsidP="00F8138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Kontrolltevékenység</w:t>
            </w:r>
          </w:p>
          <w:p w:rsidR="00A05A4A" w:rsidRPr="006E288B" w:rsidRDefault="00A05A4A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A05A4A" w:rsidRPr="006E288B" w:rsidRDefault="00A05A4A" w:rsidP="00F8138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A05A4A" w:rsidRPr="006E288B" w:rsidRDefault="00A05A4A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A05A4A" w:rsidRPr="006E288B" w:rsidRDefault="00A05A4A" w:rsidP="00F8138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E288B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A05A4A" w:rsidRPr="006E288B" w:rsidRDefault="00A05A4A" w:rsidP="00F81384">
            <w:pPr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6E288B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6E288B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A05A4A" w:rsidRPr="006E288B" w:rsidRDefault="00A05A4A" w:rsidP="00F81384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05A4A" w:rsidRPr="006E288B" w:rsidTr="003633BB">
        <w:tc>
          <w:tcPr>
            <w:tcW w:w="5000" w:type="pct"/>
            <w:gridSpan w:val="12"/>
            <w:shd w:val="clear" w:color="auto" w:fill="D9D9D9"/>
          </w:tcPr>
          <w:p w:rsidR="00A05A4A" w:rsidRPr="006E288B" w:rsidRDefault="00A05A4A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A05A4A" w:rsidRPr="006E288B" w:rsidTr="003633BB">
        <w:tc>
          <w:tcPr>
            <w:tcW w:w="194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  <w:r w:rsidRPr="006E288B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A05A4A" w:rsidRPr="006E288B" w:rsidRDefault="00A05A4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4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31" w:type="pct"/>
            <w:gridSpan w:val="3"/>
          </w:tcPr>
          <w:p w:rsidR="00A05A4A" w:rsidRPr="006E288B" w:rsidRDefault="00A05A4A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6E288B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6E288B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6E288B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A05A4A" w:rsidRPr="006E288B" w:rsidRDefault="00A05A4A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06" w:type="pct"/>
            <w:gridSpan w:val="2"/>
          </w:tcPr>
          <w:p w:rsidR="00A05A4A" w:rsidRPr="006E288B" w:rsidRDefault="00A05A4A" w:rsidP="00F81384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E288B">
              <w:rPr>
                <w:rFonts w:eastAsia="Calibri"/>
                <w:lang w:val="hu-HU" w:eastAsia="en-US"/>
              </w:rPr>
              <w:t>Az intézkedési terv elkészítéséért, végrehajtásáért és a megtett intézkedésekről történő beszámolásért az ellenőrzött, valamint a javaslattal érintett szerv, illetve szervezeti egység vezetője felelős. Az intézkedési tervet az intézménynek nem kellett készítenie.</w:t>
            </w:r>
          </w:p>
        </w:tc>
      </w:tr>
    </w:tbl>
    <w:p w:rsidR="003633BB" w:rsidRDefault="003633BB" w:rsidP="003633BB"/>
    <w:p w:rsidR="003633BB" w:rsidRDefault="003633BB" w:rsidP="003633BB">
      <w:proofErr w:type="spellStart"/>
      <w:r>
        <w:t>Kaposvár</w:t>
      </w:r>
      <w:proofErr w:type="spellEnd"/>
      <w:r>
        <w:t>, 2014.február 12.</w:t>
      </w:r>
    </w:p>
    <w:p w:rsidR="003633BB" w:rsidRDefault="003633BB" w:rsidP="003633BB"/>
    <w:p w:rsidR="003633BB" w:rsidRDefault="003633BB" w:rsidP="003633BB">
      <w:pPr>
        <w:tabs>
          <w:tab w:val="center" w:pos="9072"/>
        </w:tabs>
      </w:pPr>
    </w:p>
    <w:p w:rsidR="003633BB" w:rsidRDefault="003633BB" w:rsidP="003633BB">
      <w:pPr>
        <w:tabs>
          <w:tab w:val="center" w:pos="9072"/>
        </w:tabs>
      </w:pPr>
    </w:p>
    <w:p w:rsidR="003633BB" w:rsidRDefault="003633BB" w:rsidP="003633BB">
      <w:pPr>
        <w:tabs>
          <w:tab w:val="center" w:pos="9072"/>
        </w:tabs>
      </w:pPr>
    </w:p>
    <w:p w:rsidR="003633BB" w:rsidRDefault="003633BB" w:rsidP="003633BB">
      <w:pPr>
        <w:tabs>
          <w:tab w:val="left" w:pos="5103"/>
          <w:tab w:val="center" w:pos="9072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3633BB" w:rsidRDefault="003633BB" w:rsidP="003633BB">
      <w:pPr>
        <w:tabs>
          <w:tab w:val="left" w:pos="5670"/>
          <w:tab w:val="center" w:pos="9072"/>
        </w:tabs>
      </w:pPr>
      <w:r>
        <w:t xml:space="preserve">                    </w:t>
      </w:r>
      <w:r>
        <w:tab/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Iroda</w:t>
      </w:r>
      <w:proofErr w:type="spellEnd"/>
      <w:r>
        <w:t xml:space="preserve"> </w:t>
      </w:r>
      <w:proofErr w:type="spellStart"/>
      <w:r>
        <w:t>vezető</w:t>
      </w:r>
      <w:proofErr w:type="spellEnd"/>
    </w:p>
    <w:p w:rsidR="002928FF" w:rsidRPr="006E288B" w:rsidRDefault="002928FF" w:rsidP="00320B4D"/>
    <w:sectPr w:rsidR="002928FF" w:rsidRPr="006E288B" w:rsidSect="003633B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0126D6"/>
    <w:rsid w:val="001A39E4"/>
    <w:rsid w:val="001F365F"/>
    <w:rsid w:val="0024569B"/>
    <w:rsid w:val="002928FF"/>
    <w:rsid w:val="00300A08"/>
    <w:rsid w:val="00320B4D"/>
    <w:rsid w:val="00337AAB"/>
    <w:rsid w:val="003633BB"/>
    <w:rsid w:val="00445DDB"/>
    <w:rsid w:val="00454CDB"/>
    <w:rsid w:val="00456ABB"/>
    <w:rsid w:val="00564846"/>
    <w:rsid w:val="00647FE2"/>
    <w:rsid w:val="006A1F8C"/>
    <w:rsid w:val="006E288B"/>
    <w:rsid w:val="007E6269"/>
    <w:rsid w:val="00802622"/>
    <w:rsid w:val="008D56FA"/>
    <w:rsid w:val="00927303"/>
    <w:rsid w:val="0093135C"/>
    <w:rsid w:val="0095376D"/>
    <w:rsid w:val="009E44BE"/>
    <w:rsid w:val="00A05A4A"/>
    <w:rsid w:val="00B72876"/>
    <w:rsid w:val="00B774AF"/>
    <w:rsid w:val="00B912E2"/>
    <w:rsid w:val="00BF2985"/>
    <w:rsid w:val="00C92E3D"/>
    <w:rsid w:val="00CA6DDA"/>
    <w:rsid w:val="00CD4BC0"/>
    <w:rsid w:val="00CF65FC"/>
    <w:rsid w:val="00D23BAB"/>
    <w:rsid w:val="00D81F46"/>
    <w:rsid w:val="00D86806"/>
    <w:rsid w:val="00D96883"/>
    <w:rsid w:val="00DD4E22"/>
    <w:rsid w:val="00DE2994"/>
    <w:rsid w:val="00E33ED3"/>
    <w:rsid w:val="00EF5A6D"/>
    <w:rsid w:val="00F41ED4"/>
    <w:rsid w:val="00F4743B"/>
    <w:rsid w:val="00F769A7"/>
    <w:rsid w:val="00F76B9F"/>
    <w:rsid w:val="00F81384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908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13</cp:revision>
  <cp:lastPrinted>2014-02-12T14:47:00Z</cp:lastPrinted>
  <dcterms:created xsi:type="dcterms:W3CDTF">2014-02-06T09:40:00Z</dcterms:created>
  <dcterms:modified xsi:type="dcterms:W3CDTF">2014-03-18T12:49:00Z</dcterms:modified>
</cp:coreProperties>
</file>